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采购项目编号：SCFY-YXZB202210-001（磋）</w:t>
      </w:r>
      <w:bookmarkStart w:id="3" w:name="_GoBack"/>
      <w:bookmarkEnd w:id="3"/>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预算：19.9万元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1"/>
        <w:tblW w:w="9119" w:type="dxa"/>
        <w:tblInd w:w="0" w:type="dxa"/>
        <w:tblLayout w:type="fixed"/>
        <w:tblCellMar>
          <w:top w:w="0" w:type="dxa"/>
          <w:left w:w="0" w:type="dxa"/>
          <w:bottom w:w="0" w:type="dxa"/>
          <w:right w:w="0" w:type="dxa"/>
        </w:tblCellMar>
      </w:tblPr>
      <w:tblGrid>
        <w:gridCol w:w="518"/>
        <w:gridCol w:w="1280"/>
        <w:gridCol w:w="1248"/>
        <w:gridCol w:w="6073"/>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124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11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一次性无菌敷贴1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55200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w:t>
            </w:r>
            <w:r>
              <w:rPr>
                <w:rFonts w:hint="eastAsia" w:cstheme="minorBidi"/>
                <w:kern w:val="2"/>
                <w:sz w:val="21"/>
                <w:szCs w:val="22"/>
                <w:lang w:val="en-US" w:eastAsia="zh-CN" w:bidi="ar-SA"/>
              </w:rPr>
              <w:t>1.</w:t>
            </w:r>
            <w:r>
              <w:rPr>
                <w:rFonts w:hint="eastAsia"/>
                <w:lang w:val="en-US" w:eastAsia="zh-CN"/>
              </w:rPr>
              <w:t>用于手术后切口及创口外敷。</w:t>
            </w:r>
          </w:p>
          <w:p>
            <w:pPr>
              <w:widowControl/>
              <w:numPr>
                <w:ilvl w:val="0"/>
                <w:numId w:val="0"/>
              </w:numPr>
              <w:jc w:val="left"/>
              <w:textAlignment w:val="center"/>
              <w:rPr>
                <w:rFonts w:hint="eastAsia"/>
                <w:lang w:val="en-US" w:eastAsia="zh-CN"/>
              </w:rPr>
            </w:pPr>
            <w:r>
              <w:rPr>
                <w:rFonts w:hint="eastAsia"/>
                <w:lang w:val="en-US" w:eastAsia="zh-CN"/>
              </w:rPr>
              <w:t>2.由无纺布（或聚氨酯膜）、敷料块（吸水垫）、离型纸等组成。</w:t>
            </w:r>
          </w:p>
          <w:p>
            <w:pPr>
              <w:widowControl/>
              <w:numPr>
                <w:ilvl w:val="0"/>
                <w:numId w:val="0"/>
              </w:numPr>
              <w:jc w:val="left"/>
              <w:textAlignment w:val="center"/>
              <w:rPr>
                <w:rFonts w:hint="default"/>
                <w:lang w:val="en-US" w:eastAsia="zh-CN"/>
              </w:rPr>
            </w:pPr>
            <w:r>
              <w:rPr>
                <w:rFonts w:hint="eastAsia"/>
                <w:lang w:val="en-US" w:eastAsia="zh-CN"/>
              </w:rPr>
              <w:t>3.敷贴中的敷料块置于无纺布或聚氨酯膜胶布的中央位置，离型材料应完全将胶布覆盖。</w:t>
            </w:r>
          </w:p>
          <w:p>
            <w:pPr>
              <w:widowControl/>
              <w:numPr>
                <w:ilvl w:val="0"/>
                <w:numId w:val="0"/>
              </w:numPr>
              <w:jc w:val="left"/>
              <w:textAlignment w:val="center"/>
              <w:rPr>
                <w:rFonts w:hint="default"/>
                <w:lang w:val="en-US" w:eastAsia="zh-CN"/>
              </w:rPr>
            </w:pPr>
            <w:r>
              <w:rPr>
                <w:rFonts w:hint="eastAsia"/>
                <w:lang w:val="en-US" w:eastAsia="zh-CN"/>
              </w:rPr>
              <w:t>4.敷贴外观应平展整洁，切边整齐、涂胶均匀、无脱胶、无破损等缺陷，无纺布胶布背面无渗胶。</w:t>
            </w:r>
          </w:p>
          <w:p>
            <w:pPr>
              <w:widowControl/>
              <w:numPr>
                <w:ilvl w:val="0"/>
                <w:numId w:val="0"/>
              </w:numPr>
              <w:jc w:val="left"/>
              <w:textAlignment w:val="center"/>
              <w:rPr>
                <w:rFonts w:hint="eastAsia"/>
                <w:lang w:val="en-US" w:eastAsia="zh-CN"/>
              </w:rPr>
            </w:pPr>
            <w:r>
              <w:rPr>
                <w:rFonts w:hint="eastAsia"/>
                <w:lang w:val="en-US" w:eastAsia="zh-CN"/>
              </w:rPr>
              <w:t>★5. 产品尺寸≥60*70mm。</w:t>
            </w:r>
          </w:p>
          <w:p>
            <w:pPr>
              <w:widowControl/>
              <w:numPr>
                <w:ilvl w:val="0"/>
                <w:numId w:val="0"/>
              </w:numPr>
              <w:jc w:val="left"/>
              <w:textAlignment w:val="center"/>
            </w:pPr>
            <w:r>
              <w:rPr>
                <w:rFonts w:hint="eastAsia"/>
                <w:lang w:val="en-US" w:eastAsia="zh-CN"/>
              </w:rPr>
              <w:t>6.无菌，一次性使用。</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eastAsia"/>
                <w:lang w:val="en-US" w:eastAsia="zh-CN"/>
              </w:rPr>
              <w:t>一次性无菌敷贴2</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6600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★1.用于手术后切口及创口外敷。</w:t>
            </w:r>
          </w:p>
          <w:p>
            <w:pPr>
              <w:widowControl/>
              <w:numPr>
                <w:ilvl w:val="0"/>
                <w:numId w:val="0"/>
              </w:numPr>
              <w:jc w:val="left"/>
              <w:textAlignment w:val="center"/>
              <w:rPr>
                <w:rFonts w:hint="eastAsia"/>
                <w:lang w:val="en-US" w:eastAsia="zh-CN"/>
              </w:rPr>
            </w:pPr>
            <w:r>
              <w:rPr>
                <w:rFonts w:hint="eastAsia"/>
                <w:lang w:val="en-US" w:eastAsia="zh-CN"/>
              </w:rPr>
              <w:t>2.由无纺布（或聚氨酯膜）、敷料块（吸水垫）、离型纸等组成。</w:t>
            </w:r>
          </w:p>
          <w:p>
            <w:pPr>
              <w:widowControl/>
              <w:numPr>
                <w:ilvl w:val="0"/>
                <w:numId w:val="0"/>
              </w:numPr>
              <w:jc w:val="left"/>
              <w:textAlignment w:val="center"/>
              <w:rPr>
                <w:rFonts w:hint="default"/>
                <w:lang w:val="en-US" w:eastAsia="zh-CN"/>
              </w:rPr>
            </w:pPr>
            <w:r>
              <w:rPr>
                <w:rFonts w:hint="eastAsia"/>
                <w:lang w:val="en-US" w:eastAsia="zh-CN"/>
              </w:rPr>
              <w:t>3.敷贴中的敷料块置于无纺布或聚氨酯膜胶布的中央位置，离型材料应完全将胶布覆盖。</w:t>
            </w:r>
          </w:p>
          <w:p>
            <w:pPr>
              <w:widowControl/>
              <w:numPr>
                <w:ilvl w:val="0"/>
                <w:numId w:val="0"/>
              </w:numPr>
              <w:jc w:val="left"/>
              <w:textAlignment w:val="center"/>
              <w:rPr>
                <w:rFonts w:hint="default"/>
                <w:lang w:val="en-US" w:eastAsia="zh-CN"/>
              </w:rPr>
            </w:pPr>
            <w:r>
              <w:rPr>
                <w:rFonts w:hint="eastAsia"/>
                <w:lang w:val="en-US" w:eastAsia="zh-CN"/>
              </w:rPr>
              <w:t>4.敷贴外观应平展整洁，切边整齐、涂胶均匀、无脱胶、无破损等缺陷，无纺布胶布背面无渗胶。</w:t>
            </w:r>
          </w:p>
          <w:p>
            <w:pPr>
              <w:widowControl/>
              <w:jc w:val="left"/>
              <w:textAlignment w:val="center"/>
              <w:rPr>
                <w:rFonts w:hint="eastAsia"/>
                <w:lang w:val="en-US" w:eastAsia="zh-CN"/>
              </w:rPr>
            </w:pPr>
            <w:r>
              <w:rPr>
                <w:rFonts w:hint="eastAsia"/>
              </w:rPr>
              <w:t>★</w:t>
            </w:r>
            <w:r>
              <w:rPr>
                <w:rFonts w:hint="eastAsia"/>
                <w:lang w:val="en-US" w:eastAsia="zh-CN"/>
              </w:rPr>
              <w:t>5. 产品尺寸≥90*250mm（或100*250mm）。</w:t>
            </w:r>
          </w:p>
          <w:p>
            <w:pPr>
              <w:pStyle w:val="5"/>
            </w:pPr>
            <w:r>
              <w:rPr>
                <w:rFonts w:hint="eastAsia"/>
                <w:lang w:val="en-US" w:eastAsia="zh-CN"/>
              </w:rPr>
              <w:t>6.无菌，一次性使用。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eastAsia"/>
                <w:lang w:val="en-US" w:eastAsia="zh-CN"/>
              </w:rPr>
              <w:t>一次性无菌敷贴3</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1000</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w:t>
            </w:r>
            <w:r>
              <w:rPr>
                <w:rFonts w:hint="eastAsia" w:cstheme="minorBidi"/>
                <w:kern w:val="2"/>
                <w:sz w:val="21"/>
                <w:szCs w:val="22"/>
                <w:lang w:val="en-US" w:eastAsia="zh-CN" w:bidi="ar-SA"/>
              </w:rPr>
              <w:t>1.</w:t>
            </w:r>
            <w:r>
              <w:rPr>
                <w:rFonts w:hint="eastAsia"/>
                <w:lang w:val="en-US" w:eastAsia="zh-CN"/>
              </w:rPr>
              <w:t>用于手术后切口及创口外敷。</w:t>
            </w:r>
          </w:p>
          <w:p>
            <w:pPr>
              <w:widowControl/>
              <w:numPr>
                <w:ilvl w:val="0"/>
                <w:numId w:val="0"/>
              </w:numPr>
              <w:jc w:val="left"/>
              <w:textAlignment w:val="center"/>
              <w:rPr>
                <w:rFonts w:hint="eastAsia"/>
                <w:lang w:val="en-US" w:eastAsia="zh-CN"/>
              </w:rPr>
            </w:pPr>
            <w:r>
              <w:rPr>
                <w:rFonts w:hint="eastAsia"/>
                <w:lang w:val="en-US" w:eastAsia="zh-CN"/>
              </w:rPr>
              <w:t>2.由无纺布（或聚氨酯膜）、敷料块（吸水垫）、离型纸等组成。</w:t>
            </w:r>
          </w:p>
          <w:p>
            <w:pPr>
              <w:widowControl/>
              <w:numPr>
                <w:ilvl w:val="0"/>
                <w:numId w:val="0"/>
              </w:numPr>
              <w:jc w:val="left"/>
              <w:textAlignment w:val="center"/>
              <w:rPr>
                <w:rFonts w:hint="default"/>
                <w:lang w:val="en-US" w:eastAsia="zh-CN"/>
              </w:rPr>
            </w:pPr>
            <w:r>
              <w:rPr>
                <w:rFonts w:hint="eastAsia"/>
                <w:lang w:val="en-US" w:eastAsia="zh-CN"/>
              </w:rPr>
              <w:t>3.敷贴中的敷料块置于无纺布或聚氨酯膜胶布的中央位置，离型材料应完全将胶布覆盖。</w:t>
            </w:r>
          </w:p>
          <w:p>
            <w:pPr>
              <w:widowControl/>
              <w:numPr>
                <w:ilvl w:val="0"/>
                <w:numId w:val="0"/>
              </w:numPr>
              <w:jc w:val="left"/>
              <w:textAlignment w:val="center"/>
              <w:rPr>
                <w:rFonts w:hint="default"/>
                <w:lang w:val="en-US" w:eastAsia="zh-CN"/>
              </w:rPr>
            </w:pPr>
            <w:r>
              <w:rPr>
                <w:rFonts w:hint="eastAsia"/>
                <w:lang w:val="en-US" w:eastAsia="zh-CN"/>
              </w:rPr>
              <w:t>4.敷贴外观应平展整洁，切边整齐、涂胶均匀、无脱胶、无破损等缺陷，无纺布胶布背面无渗胶。</w:t>
            </w:r>
          </w:p>
          <w:p>
            <w:pPr>
              <w:widowControl/>
              <w:jc w:val="left"/>
              <w:textAlignment w:val="center"/>
              <w:rPr>
                <w:rFonts w:hint="eastAsia"/>
                <w:lang w:val="en-US" w:eastAsia="zh-CN"/>
              </w:rPr>
            </w:pPr>
            <w:r>
              <w:rPr>
                <w:rFonts w:hint="eastAsia"/>
              </w:rPr>
              <w:t>★</w:t>
            </w:r>
            <w:r>
              <w:rPr>
                <w:rFonts w:hint="eastAsia"/>
                <w:lang w:val="en-US" w:eastAsia="zh-CN"/>
              </w:rPr>
              <w:t>5. 产品尺寸≥90*150mm（或100*150mm）</w:t>
            </w:r>
          </w:p>
          <w:p>
            <w:pPr>
              <w:pStyle w:val="5"/>
            </w:pPr>
            <w:r>
              <w:rPr>
                <w:rFonts w:hint="eastAsia"/>
                <w:lang w:val="en-US" w:eastAsia="zh-CN"/>
              </w:rPr>
              <w:t>6.无菌，一次性使用。</w:t>
            </w:r>
          </w:p>
        </w:tc>
      </w:tr>
      <w:bookmarkEnd w:id="1"/>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lang w:eastAsia="zh-CN"/>
        </w:rPr>
      </w:pPr>
      <w:r>
        <w:rPr>
          <w:rFonts w:hint="eastAsia"/>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widowControl/>
        <w:spacing w:line="360" w:lineRule="auto"/>
        <w:jc w:val="left"/>
        <w:rPr>
          <w:rFonts w:hint="eastAsia" w:ascii="宋体" w:hAnsi="宋体" w:eastAsia="宋体" w:cs="Segoe UI"/>
          <w:b/>
          <w:bCs/>
          <w:kern w:val="0"/>
          <w:sz w:val="28"/>
          <w:szCs w:val="28"/>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Spec="center" w:tblpY="22"/>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8" w:type="dxa"/>
            <w:noWrap/>
            <w:vAlign w:val="center"/>
          </w:tcPr>
          <w:p>
            <w:pPr>
              <w:widowControl/>
              <w:spacing w:line="240" w:lineRule="atLeast"/>
              <w:jc w:val="center"/>
            </w:pPr>
            <w:r>
              <w:rPr>
                <w:rFonts w:hint="eastAsia"/>
              </w:rPr>
              <w:t>序号</w:t>
            </w:r>
          </w:p>
        </w:tc>
        <w:tc>
          <w:tcPr>
            <w:tcW w:w="984" w:type="dxa"/>
            <w:noWrap/>
            <w:vAlign w:val="center"/>
          </w:tcPr>
          <w:p>
            <w:pPr>
              <w:widowControl/>
              <w:spacing w:line="240" w:lineRule="atLeast"/>
              <w:jc w:val="center"/>
            </w:pPr>
            <w:r>
              <w:rPr>
                <w:rFonts w:hint="eastAsia"/>
              </w:rPr>
              <w:t>评分因素及权重</w:t>
            </w:r>
          </w:p>
        </w:tc>
        <w:tc>
          <w:tcPr>
            <w:tcW w:w="480" w:type="dxa"/>
            <w:noWrap/>
            <w:vAlign w:val="center"/>
          </w:tcPr>
          <w:p>
            <w:pPr>
              <w:widowControl/>
              <w:wordWrap w:val="0"/>
              <w:spacing w:line="240" w:lineRule="atLeast"/>
              <w:jc w:val="center"/>
            </w:pPr>
            <w:r>
              <w:rPr>
                <w:rFonts w:hint="eastAsia"/>
              </w:rPr>
              <w:t>分值</w:t>
            </w:r>
          </w:p>
        </w:tc>
        <w:tc>
          <w:tcPr>
            <w:tcW w:w="6648" w:type="dxa"/>
            <w:noWrap/>
            <w:vAlign w:val="center"/>
          </w:tcPr>
          <w:p>
            <w:pPr>
              <w:widowControl/>
              <w:wordWrap w:val="0"/>
              <w:spacing w:line="240" w:lineRule="atLeast"/>
              <w:jc w:val="center"/>
            </w:pPr>
            <w:r>
              <w:rPr>
                <w:rFonts w:hint="eastAsia"/>
              </w:rPr>
              <w:t>评分标准</w:t>
            </w:r>
          </w:p>
        </w:tc>
        <w:tc>
          <w:tcPr>
            <w:tcW w:w="643" w:type="dxa"/>
            <w:noWrap/>
            <w:vAlign w:val="center"/>
          </w:tcPr>
          <w:p>
            <w:pPr>
              <w:widowControl/>
              <w:wordWrap w:val="0"/>
              <w:spacing w:line="240" w:lineRule="atLeas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08" w:type="dxa"/>
            <w:noWrap/>
            <w:vAlign w:val="center"/>
          </w:tcPr>
          <w:p>
            <w:pPr>
              <w:widowControl/>
              <w:wordWrap w:val="0"/>
              <w:spacing w:line="270" w:lineRule="atLeast"/>
              <w:jc w:val="center"/>
            </w:pPr>
            <w:r>
              <w:rPr>
                <w:rFonts w:hint="eastAsia"/>
              </w:rPr>
              <w:t>1</w:t>
            </w:r>
          </w:p>
        </w:tc>
        <w:tc>
          <w:tcPr>
            <w:tcW w:w="984" w:type="dxa"/>
            <w:noWrap/>
            <w:vAlign w:val="center"/>
          </w:tcPr>
          <w:p>
            <w:pPr>
              <w:widowControl/>
              <w:wordWrap w:val="0"/>
              <w:spacing w:line="270" w:lineRule="atLeast"/>
              <w:jc w:val="center"/>
            </w:pPr>
            <w:r>
              <w:rPr>
                <w:rFonts w:hint="eastAsia"/>
              </w:rPr>
              <w:t>报价</w:t>
            </w:r>
          </w:p>
          <w:p>
            <w:pPr>
              <w:widowControl/>
              <w:wordWrap w:val="0"/>
              <w:spacing w:line="270" w:lineRule="atLeast"/>
              <w:jc w:val="center"/>
            </w:pPr>
            <w:r>
              <w:rPr>
                <w:rFonts w:hint="eastAsia"/>
                <w:lang w:val="en-US" w:eastAsia="zh-CN"/>
              </w:rPr>
              <w:t>40</w:t>
            </w:r>
            <w:r>
              <w:rPr>
                <w:rFonts w:hint="eastAsia"/>
              </w:rPr>
              <w:t>%</w:t>
            </w:r>
          </w:p>
        </w:tc>
        <w:tc>
          <w:tcPr>
            <w:tcW w:w="480" w:type="dxa"/>
            <w:noWrap/>
            <w:vAlign w:val="center"/>
          </w:tcPr>
          <w:p>
            <w:pPr>
              <w:widowControl/>
              <w:wordWrap w:val="0"/>
              <w:spacing w:line="270" w:lineRule="atLeast"/>
              <w:jc w:val="center"/>
            </w:pPr>
            <w:r>
              <w:rPr>
                <w:rFonts w:hint="eastAsia"/>
                <w:lang w:val="en-US" w:eastAsia="zh-CN"/>
              </w:rPr>
              <w:t>40</w:t>
            </w:r>
            <w:r>
              <w:rPr>
                <w:rFonts w:hint="eastAsia"/>
              </w:rPr>
              <w:t>分</w:t>
            </w:r>
          </w:p>
        </w:tc>
        <w:tc>
          <w:tcPr>
            <w:tcW w:w="6648" w:type="dxa"/>
            <w:noWrap/>
            <w:vAlign w:val="center"/>
          </w:tcPr>
          <w:p>
            <w:pPr>
              <w:widowControl/>
              <w:wordWrap w:val="0"/>
              <w:spacing w:line="270" w:lineRule="atLeast"/>
              <w:jc w:val="left"/>
            </w:pPr>
            <w:r>
              <w:rPr>
                <w:rFonts w:hint="eastAsia"/>
              </w:rPr>
              <w:t>满足磋商文件要求且报价最低的有效最终磋商报价为磋商基准价，其报价分为</w:t>
            </w:r>
            <w:r>
              <w:rPr>
                <w:rFonts w:hint="eastAsia"/>
                <w:lang w:val="en-US" w:eastAsia="zh-CN"/>
              </w:rPr>
              <w:t>40</w:t>
            </w:r>
            <w:r>
              <w:rPr>
                <w:rFonts w:hint="eastAsia"/>
              </w:rPr>
              <w:t>分。其他供应商的报价分按以下公式计算：报价得分=(磋商基准价／最终磋商报价)×</w:t>
            </w:r>
            <w:r>
              <w:rPr>
                <w:rFonts w:hint="eastAsia"/>
                <w:lang w:val="en-US" w:eastAsia="zh-CN"/>
              </w:rPr>
              <w:t>40</w:t>
            </w:r>
            <w:r>
              <w:rPr>
                <w:rFonts w:hint="eastAsia"/>
              </w:rPr>
              <w:t>。</w:t>
            </w:r>
          </w:p>
        </w:tc>
        <w:tc>
          <w:tcPr>
            <w:tcW w:w="643" w:type="dxa"/>
            <w:noWrap/>
            <w:vAlign w:val="center"/>
          </w:tcPr>
          <w:p>
            <w:pPr>
              <w:wordWrap w:val="0"/>
              <w:spacing w:line="270" w:lineRule="atLeast"/>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pPr>
            <w:r>
              <w:rPr>
                <w:rFonts w:hint="eastAsia"/>
              </w:rPr>
              <w:t>2</w:t>
            </w:r>
          </w:p>
        </w:tc>
        <w:tc>
          <w:tcPr>
            <w:tcW w:w="984" w:type="dxa"/>
            <w:noWrap/>
            <w:vAlign w:val="center"/>
          </w:tcPr>
          <w:p>
            <w:pPr>
              <w:widowControl/>
              <w:wordWrap w:val="0"/>
              <w:spacing w:line="270" w:lineRule="atLeast"/>
              <w:jc w:val="center"/>
              <w:rPr>
                <w:rFonts w:hint="eastAsia"/>
              </w:rPr>
            </w:pPr>
            <w:r>
              <w:rPr>
                <w:rFonts w:hint="eastAsia"/>
              </w:rPr>
              <w:t>技术</w:t>
            </w:r>
          </w:p>
          <w:p>
            <w:pPr>
              <w:widowControl/>
              <w:wordWrap w:val="0"/>
              <w:spacing w:line="270" w:lineRule="atLeast"/>
              <w:jc w:val="center"/>
            </w:pPr>
            <w:r>
              <w:rPr>
                <w:rFonts w:hint="eastAsia"/>
              </w:rPr>
              <w:t>指标</w:t>
            </w:r>
          </w:p>
          <w:p>
            <w:pPr>
              <w:widowControl/>
              <w:wordWrap w:val="0"/>
              <w:spacing w:line="270" w:lineRule="atLeast"/>
              <w:jc w:val="center"/>
            </w:pPr>
            <w:r>
              <w:rPr>
                <w:rFonts w:hint="eastAsia"/>
                <w:lang w:val="en-US" w:eastAsia="zh-CN"/>
              </w:rPr>
              <w:t>36</w:t>
            </w:r>
            <w:r>
              <w:rPr>
                <w:rFonts w:hint="eastAsia"/>
              </w:rPr>
              <w:t>%</w:t>
            </w:r>
          </w:p>
        </w:tc>
        <w:tc>
          <w:tcPr>
            <w:tcW w:w="480" w:type="dxa"/>
            <w:noWrap/>
            <w:vAlign w:val="center"/>
          </w:tcPr>
          <w:p>
            <w:pPr>
              <w:widowControl/>
              <w:wordWrap w:val="0"/>
              <w:spacing w:line="270" w:lineRule="atLeast"/>
              <w:jc w:val="center"/>
            </w:pPr>
            <w:r>
              <w:rPr>
                <w:rFonts w:hint="eastAsia"/>
                <w:lang w:val="en-US" w:eastAsia="zh-CN"/>
              </w:rPr>
              <w:t>36</w:t>
            </w:r>
            <w:r>
              <w:rPr>
                <w:rFonts w:hint="eastAsia"/>
              </w:rPr>
              <w:t>分</w:t>
            </w:r>
          </w:p>
        </w:tc>
        <w:tc>
          <w:tcPr>
            <w:tcW w:w="6648" w:type="dxa"/>
            <w:noWrap/>
            <w:vAlign w:val="center"/>
          </w:tcPr>
          <w:p>
            <w:pPr>
              <w:widowControl/>
              <w:wordWrap w:val="0"/>
              <w:spacing w:line="270" w:lineRule="atLeast"/>
              <w:jc w:val="left"/>
            </w:pPr>
            <w:r>
              <w:rPr>
                <w:rFonts w:hint="eastAsia"/>
              </w:rPr>
              <w:t>完全满足磋商文件“</w:t>
            </w:r>
            <w:r>
              <w:rPr>
                <w:rFonts w:hint="eastAsia"/>
                <w:lang w:val="en-US" w:eastAsia="zh-CN"/>
              </w:rPr>
              <w:t>三</w:t>
            </w:r>
            <w:r>
              <w:rPr>
                <w:rFonts w:hint="eastAsia"/>
              </w:rPr>
              <w:t>、技术参数要求”的要求没有负偏离得</w:t>
            </w:r>
            <w:r>
              <w:rPr>
                <w:rFonts w:hint="eastAsia"/>
                <w:lang w:val="en-US" w:eastAsia="zh-CN"/>
              </w:rPr>
              <w:t>36</w:t>
            </w:r>
            <w:r>
              <w:rPr>
                <w:rFonts w:hint="eastAsia"/>
              </w:rPr>
              <w:t>分。</w:t>
            </w:r>
          </w:p>
          <w:p>
            <w:pPr>
              <w:widowControl/>
              <w:wordWrap w:val="0"/>
              <w:spacing w:line="270" w:lineRule="atLeast"/>
              <w:jc w:val="left"/>
            </w:pPr>
            <w:r>
              <w:rPr>
                <w:rFonts w:hint="eastAsia"/>
                <w:lang w:val="en-US" w:eastAsia="zh-CN"/>
              </w:rPr>
              <w:t>“★”的参数为重要参数</w:t>
            </w:r>
            <w:r>
              <w:rPr>
                <w:rFonts w:hint="eastAsia"/>
              </w:rPr>
              <w:t>（共</w:t>
            </w:r>
            <w:r>
              <w:rPr>
                <w:rFonts w:hint="eastAsia"/>
                <w:lang w:val="en-US" w:eastAsia="zh-CN"/>
              </w:rPr>
              <w:t>6</w:t>
            </w:r>
            <w:r>
              <w:rPr>
                <w:rFonts w:hint="eastAsia"/>
              </w:rPr>
              <w:t>条），每有一条负偏离的扣</w:t>
            </w:r>
            <w:r>
              <w:rPr>
                <w:rFonts w:hint="eastAsia"/>
                <w:lang w:val="en-US" w:eastAsia="zh-CN"/>
              </w:rPr>
              <w:t>3</w:t>
            </w:r>
            <w:r>
              <w:rPr>
                <w:rFonts w:hint="eastAsia"/>
              </w:rPr>
              <w:t>分</w:t>
            </w:r>
            <w:r>
              <w:rPr>
                <w:rFonts w:hint="eastAsia"/>
                <w:lang w:eastAsia="zh-CN"/>
              </w:rPr>
              <w:t>；</w:t>
            </w:r>
            <w:r>
              <w:rPr>
                <w:rFonts w:hint="eastAsia"/>
              </w:rPr>
              <w:t>非“★”非“▲”的参数为一般参数（共</w:t>
            </w:r>
            <w:r>
              <w:rPr>
                <w:rFonts w:hint="eastAsia"/>
                <w:lang w:val="en-US" w:eastAsia="zh-CN"/>
              </w:rPr>
              <w:t>12</w:t>
            </w:r>
            <w:r>
              <w:rPr>
                <w:rFonts w:hint="eastAsia"/>
              </w:rPr>
              <w:t>条），每有一条负偏离的扣</w:t>
            </w:r>
            <w:r>
              <w:rPr>
                <w:rFonts w:hint="eastAsia"/>
                <w:lang w:val="en-US" w:eastAsia="zh-CN"/>
              </w:rPr>
              <w:t>1.5</w:t>
            </w:r>
            <w:r>
              <w:rPr>
                <w:rFonts w:hint="eastAsia"/>
              </w:rPr>
              <w:t>分，扣完为止。</w:t>
            </w:r>
          </w:p>
        </w:tc>
        <w:tc>
          <w:tcPr>
            <w:tcW w:w="643" w:type="dxa"/>
            <w:noWrap/>
            <w:vAlign w:val="center"/>
          </w:tcPr>
          <w:p>
            <w:pPr>
              <w:widowControl/>
              <w:wordWrap w:val="0"/>
              <w:spacing w:line="270" w:lineRule="atLeast"/>
              <w:jc w:val="left"/>
            </w:pPr>
            <w:r>
              <w:rPr>
                <w:rFonts w:hint="eastAsia"/>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08" w:type="dxa"/>
            <w:noWrap/>
            <w:vAlign w:val="center"/>
          </w:tcPr>
          <w:p>
            <w:pPr>
              <w:widowControl/>
              <w:wordWrap w:val="0"/>
              <w:spacing w:line="270" w:lineRule="atLeast"/>
              <w:jc w:val="center"/>
            </w:pPr>
            <w:r>
              <w:rPr>
                <w:rFonts w:hint="eastAsia"/>
              </w:rPr>
              <w:t>3</w:t>
            </w:r>
          </w:p>
        </w:tc>
        <w:tc>
          <w:tcPr>
            <w:tcW w:w="984" w:type="dxa"/>
            <w:noWrap/>
            <w:vAlign w:val="center"/>
          </w:tcPr>
          <w:p>
            <w:pPr>
              <w:widowControl/>
              <w:wordWrap w:val="0"/>
              <w:spacing w:line="270" w:lineRule="atLeast"/>
              <w:jc w:val="center"/>
            </w:pPr>
            <w:r>
              <w:rPr>
                <w:rFonts w:hint="eastAsia"/>
              </w:rPr>
              <w:t>供应商能力</w:t>
            </w:r>
          </w:p>
          <w:p>
            <w:pPr>
              <w:widowControl/>
              <w:wordWrap w:val="0"/>
              <w:spacing w:line="270" w:lineRule="atLeast"/>
              <w:jc w:val="center"/>
            </w:pPr>
            <w:r>
              <w:rPr>
                <w:rFonts w:hint="eastAsia"/>
              </w:rPr>
              <w:t>1</w:t>
            </w:r>
            <w:r>
              <w:rPr>
                <w:rFonts w:hint="eastAsia"/>
                <w:lang w:val="en-US" w:eastAsia="zh-CN"/>
              </w:rPr>
              <w:t>2</w:t>
            </w:r>
            <w:r>
              <w:rPr>
                <w:rFonts w:hint="eastAsia"/>
              </w:rPr>
              <w:t>%</w:t>
            </w:r>
          </w:p>
        </w:tc>
        <w:tc>
          <w:tcPr>
            <w:tcW w:w="480" w:type="dxa"/>
            <w:noWrap/>
            <w:vAlign w:val="center"/>
          </w:tcPr>
          <w:p>
            <w:pPr>
              <w:wordWrap w:val="0"/>
              <w:spacing w:line="270" w:lineRule="atLeast"/>
              <w:jc w:val="center"/>
            </w:pPr>
            <w:r>
              <w:rPr>
                <w:rFonts w:hint="eastAsia"/>
              </w:rPr>
              <w:t>1</w:t>
            </w:r>
            <w:r>
              <w:rPr>
                <w:rFonts w:hint="eastAsia"/>
                <w:lang w:val="en-US" w:eastAsia="zh-CN"/>
              </w:rPr>
              <w:t>2</w:t>
            </w:r>
            <w:r>
              <w:rPr>
                <w:rFonts w:hint="eastAsia"/>
              </w:rPr>
              <w:t>分</w:t>
            </w:r>
          </w:p>
        </w:tc>
        <w:tc>
          <w:tcPr>
            <w:tcW w:w="6648" w:type="dxa"/>
            <w:noWrap/>
            <w:vAlign w:val="center"/>
          </w:tcPr>
          <w:p>
            <w:pPr>
              <w:wordWrap w:val="0"/>
              <w:spacing w:line="270" w:lineRule="atLeast"/>
              <w:jc w:val="left"/>
            </w:pPr>
            <w:r>
              <w:rPr>
                <w:rFonts w:hint="eastAsia"/>
              </w:rPr>
              <w:t>提供投标产品2019年1月1日（含1日）以来国内三甲医院业绩证明，每提供1家业绩证明得2分，最多得1</w:t>
            </w:r>
            <w:r>
              <w:rPr>
                <w:rFonts w:hint="eastAsia"/>
                <w:lang w:val="en-US" w:eastAsia="zh-CN"/>
              </w:rPr>
              <w:t>2</w:t>
            </w:r>
            <w:r>
              <w:rPr>
                <w:rFonts w:hint="eastAsia"/>
              </w:rPr>
              <w:t>分。</w:t>
            </w:r>
          </w:p>
          <w:p>
            <w:r>
              <w:rPr>
                <w:rFonts w:hint="eastAsia"/>
              </w:rPr>
              <w:t>注：提供合同复印件或中标（成交/中选）通知书或发票复印件（若发票复印件上无产品明细则需附销货清单）加盖供应商公章，不提供不得分。</w:t>
            </w:r>
          </w:p>
        </w:tc>
        <w:tc>
          <w:tcPr>
            <w:tcW w:w="643" w:type="dxa"/>
            <w:noWrap/>
            <w:vAlign w:val="center"/>
          </w:tcPr>
          <w:p>
            <w:pPr>
              <w:wordWrap w:val="0"/>
              <w:spacing w:line="270" w:lineRule="atLeast"/>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08" w:type="dxa"/>
            <w:noWrap/>
            <w:vAlign w:val="center"/>
          </w:tcPr>
          <w:p>
            <w:pPr>
              <w:widowControl/>
              <w:wordWrap w:val="0"/>
              <w:spacing w:line="270" w:lineRule="atLeast"/>
              <w:jc w:val="center"/>
            </w:pPr>
            <w:r>
              <w:rPr>
                <w:rFonts w:hint="eastAsia"/>
              </w:rPr>
              <w:t>4</w:t>
            </w:r>
          </w:p>
        </w:tc>
        <w:tc>
          <w:tcPr>
            <w:tcW w:w="984" w:type="dxa"/>
            <w:noWrap/>
            <w:vAlign w:val="center"/>
          </w:tcPr>
          <w:p>
            <w:pPr>
              <w:widowControl/>
              <w:wordWrap w:val="0"/>
              <w:spacing w:line="270" w:lineRule="atLeast"/>
              <w:jc w:val="center"/>
            </w:pPr>
            <w:r>
              <w:rPr>
                <w:rFonts w:hint="eastAsia"/>
              </w:rPr>
              <w:t>售后服务体系</w:t>
            </w:r>
          </w:p>
          <w:p>
            <w:pPr>
              <w:widowControl/>
              <w:wordWrap w:val="0"/>
              <w:spacing w:line="270" w:lineRule="atLeast"/>
              <w:jc w:val="center"/>
            </w:pPr>
            <w:r>
              <w:rPr>
                <w:rFonts w:hint="eastAsia"/>
                <w:lang w:val="en-US" w:eastAsia="zh-CN"/>
              </w:rPr>
              <w:t>12</w:t>
            </w:r>
            <w:r>
              <w:rPr>
                <w:rFonts w:hint="eastAsia"/>
              </w:rPr>
              <w:t>%</w:t>
            </w:r>
          </w:p>
        </w:tc>
        <w:tc>
          <w:tcPr>
            <w:tcW w:w="480" w:type="dxa"/>
            <w:noWrap/>
            <w:vAlign w:val="center"/>
          </w:tcPr>
          <w:p>
            <w:pPr>
              <w:spacing w:line="320" w:lineRule="atLeast"/>
              <w:ind w:left="-105" w:right="-107"/>
              <w:jc w:val="center"/>
              <w:rPr>
                <w:rFonts w:hint="eastAsia"/>
                <w:lang w:val="en-US" w:eastAsia="zh-CN"/>
              </w:rPr>
            </w:pPr>
            <w:r>
              <w:rPr>
                <w:rFonts w:hint="eastAsia"/>
                <w:lang w:val="en-US" w:eastAsia="zh-CN"/>
              </w:rPr>
              <w:t>12</w:t>
            </w:r>
          </w:p>
          <w:p>
            <w:pPr>
              <w:spacing w:line="320" w:lineRule="atLeast"/>
              <w:ind w:left="-105" w:right="-107"/>
              <w:jc w:val="center"/>
            </w:pPr>
            <w:r>
              <w:rPr>
                <w:rFonts w:hint="eastAsia"/>
              </w:rPr>
              <w:t>分</w:t>
            </w:r>
          </w:p>
        </w:tc>
        <w:tc>
          <w:tcPr>
            <w:tcW w:w="6648" w:type="dxa"/>
            <w:noWrap/>
            <w:vAlign w:val="center"/>
          </w:tcPr>
          <w:p>
            <w:pPr>
              <w:widowControl/>
              <w:wordWrap w:val="0"/>
              <w:jc w:val="left"/>
            </w:pPr>
            <w:r>
              <w:rPr>
                <w:rFonts w:hint="eastAsia"/>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lang w:val="en-US" w:eastAsia="zh-CN"/>
              </w:rPr>
              <w:t>12</w:t>
            </w:r>
            <w:r>
              <w:rPr>
                <w:rFonts w:hint="eastAsia"/>
              </w:rPr>
              <w:t>分；每缺少一项或提供的方案与本项目无关的扣</w:t>
            </w:r>
            <w:r>
              <w:rPr>
                <w:rFonts w:hint="eastAsia"/>
                <w:lang w:val="en-US" w:eastAsia="zh-CN"/>
              </w:rPr>
              <w:t>3</w:t>
            </w:r>
            <w:r>
              <w:rPr>
                <w:rFonts w:hint="eastAsia"/>
              </w:rPr>
              <w:t>分；方案存在缺陷或不合理（缺陷和不合理是指存在不适用项目实际情况的情形、凭空编造、逻辑漏洞、科学原理错误以及不可能实现的夸大情形等)的扣</w:t>
            </w:r>
            <w:r>
              <w:rPr>
                <w:rFonts w:hint="eastAsia"/>
                <w:lang w:val="en-US" w:eastAsia="zh-CN"/>
              </w:rPr>
              <w:t>2</w:t>
            </w:r>
            <w:r>
              <w:rPr>
                <w:rFonts w:hint="eastAsia"/>
              </w:rPr>
              <w:t>分，分值扣完为止。</w:t>
            </w:r>
          </w:p>
        </w:tc>
        <w:tc>
          <w:tcPr>
            <w:tcW w:w="643" w:type="dxa"/>
            <w:noWrap/>
            <w:vAlign w:val="center"/>
          </w:tcPr>
          <w:p>
            <w:pPr>
              <w:widowControl/>
              <w:wordWrap w:val="0"/>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163" w:type="dxa"/>
            <w:gridSpan w:val="5"/>
            <w:noWrap/>
            <w:vAlign w:val="center"/>
          </w:tcPr>
          <w:p>
            <w:pPr>
              <w:widowControl/>
              <w:wordWrap w:val="0"/>
              <w:jc w:val="left"/>
            </w:pPr>
            <w:r>
              <w:rPr>
                <w:rFonts w:hint="eastAsia"/>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5536063D"/>
    <w:rsid w:val="62FA0171"/>
    <w:rsid w:val="65C660E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2022-10-18T07:22:42Z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