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rPr>
          <w:rFonts w:ascii="仿宋_GB2312" w:eastAsia="仿宋_GB2312"/>
          <w:color w:val="000000"/>
          <w:sz w:val="32"/>
          <w:szCs w:val="32"/>
        </w:rPr>
      </w:pPr>
      <w:r>
        <w:rPr>
          <w:rFonts w:hint="eastAsia" w:ascii="仿宋_GB2312" w:eastAsia="仿宋_GB2312"/>
          <w:color w:val="000000"/>
          <w:sz w:val="32"/>
          <w:szCs w:val="32"/>
        </w:rPr>
        <w:t>附件1</w:t>
      </w:r>
    </w:p>
    <w:p>
      <w:pPr>
        <w:spacing w:line="560" w:lineRule="exact"/>
        <w:ind w:firstLine="0" w:firstLineChars="0"/>
        <w:jc w:val="center"/>
        <w:rPr>
          <w:rFonts w:ascii="华光小标宋_CNKI" w:hAnsi="华光小标宋_CNKI" w:eastAsia="华光小标宋_CNKI" w:cs="宋体"/>
          <w:bCs/>
          <w:sz w:val="44"/>
          <w:szCs w:val="44"/>
        </w:rPr>
      </w:pPr>
      <w:r>
        <w:rPr>
          <w:rFonts w:hint="eastAsia" w:ascii="华光小标宋_CNKI" w:hAnsi="华光小标宋_CNKI" w:eastAsia="华光小标宋_CNKI" w:cs="宋体"/>
          <w:bCs/>
          <w:sz w:val="44"/>
          <w:szCs w:val="44"/>
        </w:rPr>
        <w:t>四川省妇幼保健院（四川省妇女儿童医院）天府院区二期工程建设项目水土保持方案编制</w:t>
      </w:r>
      <w:r>
        <w:rPr>
          <w:rFonts w:hint="eastAsia" w:ascii="华光小标宋_CNKI" w:hAnsi="华光小标宋_CNKI" w:eastAsia="华光小标宋_CNKI" w:cs="宋体"/>
          <w:bCs/>
          <w:sz w:val="44"/>
          <w:szCs w:val="44"/>
          <w:lang w:eastAsia="zh-CN"/>
        </w:rPr>
        <w:t>和水土保持监测咨询服务</w:t>
      </w:r>
      <w:r>
        <w:rPr>
          <w:rFonts w:hint="eastAsia" w:ascii="华光小标宋_CNKI" w:hAnsi="华光小标宋_CNKI" w:eastAsia="华光小标宋_CNKI" w:cs="宋体"/>
          <w:bCs/>
          <w:sz w:val="44"/>
          <w:szCs w:val="44"/>
        </w:rPr>
        <w:t>要求</w:t>
      </w:r>
    </w:p>
    <w:p>
      <w:pPr>
        <w:spacing w:line="560" w:lineRule="exact"/>
        <w:ind w:firstLine="643"/>
        <w:rPr>
          <w:rFonts w:ascii="仿宋_GB2312" w:eastAsia="仿宋_GB2312"/>
          <w:b/>
          <w:bCs/>
          <w:color w:val="000000"/>
          <w:sz w:val="32"/>
          <w:szCs w:val="32"/>
        </w:rPr>
      </w:pPr>
    </w:p>
    <w:p>
      <w:pPr>
        <w:spacing w:line="560" w:lineRule="exact"/>
        <w:ind w:firstLine="640"/>
        <w:rPr>
          <w:rFonts w:ascii="黑体" w:hAnsi="黑体" w:eastAsia="黑体"/>
          <w:bCs/>
          <w:color w:val="000000"/>
          <w:sz w:val="32"/>
          <w:szCs w:val="32"/>
        </w:rPr>
      </w:pPr>
      <w:r>
        <w:rPr>
          <w:rFonts w:hint="eastAsia" w:ascii="黑体" w:hAnsi="黑体" w:eastAsia="黑体"/>
          <w:bCs/>
          <w:color w:val="000000"/>
          <w:sz w:val="32"/>
          <w:szCs w:val="32"/>
        </w:rPr>
        <w:t>一、项目概述</w:t>
      </w:r>
    </w:p>
    <w:p>
      <w:pPr>
        <w:spacing w:line="560" w:lineRule="exact"/>
        <w:ind w:firstLine="640"/>
        <w:rPr>
          <w:rFonts w:ascii="微软雅黑" w:hAnsi="微软雅黑" w:eastAsia="微软雅黑" w:cs="微软雅黑"/>
          <w:color w:val="0000FF"/>
          <w:sz w:val="36"/>
          <w:szCs w:val="36"/>
          <w:shd w:val="clear" w:color="auto" w:fill="FFFFFF"/>
          <w:lang w:val="zh-CN"/>
        </w:rPr>
      </w:pPr>
      <w:r>
        <w:rPr>
          <w:rFonts w:hint="eastAsia" w:ascii="仿宋_GB2312" w:eastAsia="仿宋_GB2312"/>
          <w:color w:val="000000"/>
          <w:sz w:val="32"/>
          <w:szCs w:val="32"/>
        </w:rPr>
        <w:t>1.名称：四川省妇幼保健院（四川省妇女儿童医院）天府院区二期工程建设项目</w:t>
      </w:r>
      <w:r>
        <w:rPr>
          <w:rFonts w:hint="eastAsia" w:ascii="仿宋_GB2312" w:eastAsia="仿宋_GB2312"/>
          <w:color w:val="000000"/>
          <w:sz w:val="32"/>
          <w:szCs w:val="32"/>
          <w:lang w:val="zh-CN"/>
        </w:rPr>
        <w:t>水土保持方案编制</w:t>
      </w:r>
    </w:p>
    <w:p>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2.项目位置：</w:t>
      </w:r>
      <w:r>
        <w:rPr>
          <w:rFonts w:ascii="仿宋_GB2312" w:eastAsia="仿宋_GB2312"/>
          <w:color w:val="000000"/>
          <w:sz w:val="32"/>
          <w:szCs w:val="32"/>
        </w:rPr>
        <w:t>成都市双流区岐黄二路1515号</w:t>
      </w:r>
    </w:p>
    <w:p>
      <w:pPr>
        <w:spacing w:line="560"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eastAsia="仿宋_GB2312"/>
          <w:color w:val="000000"/>
          <w:sz w:val="32"/>
          <w:szCs w:val="32"/>
        </w:rPr>
        <w:t>3.工程项目概况：四川省妇幼保健院（四川省妇女儿童医院）</w:t>
      </w:r>
      <w:r>
        <w:rPr>
          <w:rFonts w:hint="eastAsia" w:ascii="仿宋_GB2312" w:hAnsi="仿宋_GB2312" w:eastAsia="仿宋_GB2312" w:cs="仿宋_GB2312"/>
          <w:sz w:val="32"/>
          <w:szCs w:val="32"/>
        </w:rPr>
        <w:t>天府院区工程建设项目总规划净用地面积</w:t>
      </w:r>
      <w:r>
        <w:rPr>
          <w:rFonts w:ascii="仿宋_GB2312" w:hAnsi="仿宋_GB2312" w:eastAsia="仿宋_GB2312" w:cs="仿宋_GB2312"/>
          <w:sz w:val="32"/>
          <w:szCs w:val="32"/>
        </w:rPr>
        <w:t>69598.22</w:t>
      </w:r>
      <w:r>
        <w:rPr>
          <w:rFonts w:hint="eastAsia" w:ascii="Batang" w:hAnsi="Batang" w:eastAsia="Batang" w:cs="Batang"/>
          <w:sz w:val="32"/>
          <w:szCs w:val="32"/>
        </w:rPr>
        <w:t>㎡</w:t>
      </w:r>
      <w:r>
        <w:rPr>
          <w:rFonts w:hint="eastAsia" w:ascii="仿宋_GB2312" w:hAnsi="仿宋_GB2312" w:eastAsia="仿宋_GB2312" w:cs="仿宋_GB2312"/>
          <w:sz w:val="32"/>
          <w:szCs w:val="32"/>
        </w:rPr>
        <w:t>，其中二期工程</w:t>
      </w:r>
      <w:r>
        <w:rPr>
          <w:rFonts w:ascii="仿宋_GB2312" w:hAnsi="仿宋_GB2312" w:eastAsia="仿宋_GB2312" w:cs="仿宋_GB2312"/>
          <w:sz w:val="32"/>
          <w:szCs w:val="32"/>
        </w:rPr>
        <w:t>项目净用地面积约为16300</w:t>
      </w:r>
      <w:r>
        <w:rPr>
          <w:rFonts w:hint="eastAsia" w:ascii="Batang" w:hAnsi="Batang" w:eastAsia="Batang" w:cs="Batang"/>
          <w:sz w:val="32"/>
          <w:szCs w:val="32"/>
        </w:rPr>
        <w:t>㎡</w:t>
      </w:r>
      <w:r>
        <w:rPr>
          <w:rFonts w:hint="eastAsia" w:ascii="仿宋_GB2312" w:hAnsi="仿宋_GB2312" w:eastAsia="仿宋_GB2312" w:cs="仿宋_GB2312"/>
          <w:sz w:val="32"/>
          <w:szCs w:val="32"/>
        </w:rPr>
        <w:t>，二期批复总建筑面79975</w:t>
      </w:r>
      <w:r>
        <w:rPr>
          <w:rFonts w:hint="eastAsia" w:ascii="Batang" w:hAnsi="Batang" w:eastAsia="Batang" w:cs="Batang"/>
          <w:sz w:val="32"/>
          <w:szCs w:val="32"/>
        </w:rPr>
        <w:t>㎡</w:t>
      </w:r>
      <w:r>
        <w:rPr>
          <w:rFonts w:hint="eastAsia" w:ascii="仿宋_GB2312" w:hAnsi="仿宋_GB2312" w:eastAsia="仿宋_GB2312" w:cs="仿宋_GB2312"/>
          <w:sz w:val="32"/>
          <w:szCs w:val="32"/>
        </w:rPr>
        <w:t>，其中地上51968</w:t>
      </w:r>
      <w:r>
        <w:rPr>
          <w:rFonts w:hint="eastAsia" w:ascii="Batang" w:hAnsi="Batang" w:eastAsia="Batang" w:cs="Batang"/>
          <w:sz w:val="32"/>
          <w:szCs w:val="32"/>
        </w:rPr>
        <w:t>㎡</w:t>
      </w:r>
      <w:r>
        <w:rPr>
          <w:rFonts w:hint="eastAsia" w:ascii="仿宋_GB2312" w:hAnsi="仿宋_GB2312" w:eastAsia="仿宋_GB2312" w:cs="仿宋_GB2312"/>
          <w:sz w:val="32"/>
          <w:szCs w:val="32"/>
        </w:rPr>
        <w:t>，地下28007</w:t>
      </w:r>
      <w:r>
        <w:rPr>
          <w:rFonts w:hint="eastAsia" w:ascii="Batang" w:hAnsi="Batang" w:eastAsia="Batang" w:cs="Batang"/>
          <w:sz w:val="32"/>
          <w:szCs w:val="32"/>
        </w:rPr>
        <w:t>㎡</w:t>
      </w:r>
      <w:r>
        <w:rPr>
          <w:rFonts w:hint="eastAsia" w:ascii="仿宋_GB2312" w:hAnsi="仿宋_GB2312" w:eastAsia="仿宋_GB2312" w:cs="仿宋_GB2312"/>
          <w:sz w:val="32"/>
          <w:szCs w:val="32"/>
        </w:rPr>
        <w:t>。包括新建门诊住院综合楼、科教楼、地下人防急救医院、设备机房、车库等，配套建设道路、景观、室外管线等公用附属设施，配置洗衣房及制氧中心设备等。二期门诊</w:t>
      </w:r>
      <w:r>
        <w:rPr>
          <w:rFonts w:ascii="仿宋_GB2312" w:hAnsi="仿宋_GB2312" w:eastAsia="仿宋_GB2312" w:cs="仿宋_GB2312"/>
          <w:sz w:val="32"/>
          <w:szCs w:val="32"/>
        </w:rPr>
        <w:t>住院</w:t>
      </w:r>
      <w:r>
        <w:rPr>
          <w:rFonts w:hint="eastAsia" w:ascii="仿宋_GB2312" w:hAnsi="仿宋_GB2312" w:eastAsia="仿宋_GB2312" w:cs="仿宋_GB2312"/>
          <w:sz w:val="32"/>
          <w:szCs w:val="32"/>
        </w:rPr>
        <w:t>综合楼位于</w:t>
      </w:r>
      <w:r>
        <w:rPr>
          <w:rFonts w:ascii="仿宋_GB2312" w:hAnsi="仿宋_GB2312" w:eastAsia="仿宋_GB2312" w:cs="仿宋_GB2312"/>
          <w:sz w:val="32"/>
          <w:szCs w:val="32"/>
        </w:rPr>
        <w:t>一期</w:t>
      </w:r>
      <w:r>
        <w:rPr>
          <w:rFonts w:hint="eastAsia" w:ascii="仿宋_GB2312" w:hAnsi="仿宋_GB2312" w:eastAsia="仿宋_GB2312" w:cs="仿宋_GB2312"/>
          <w:sz w:val="32"/>
          <w:szCs w:val="32"/>
        </w:rPr>
        <w:t>门诊</w:t>
      </w:r>
      <w:r>
        <w:rPr>
          <w:rFonts w:ascii="仿宋_GB2312" w:hAnsi="仿宋_GB2312" w:eastAsia="仿宋_GB2312" w:cs="仿宋_GB2312"/>
          <w:sz w:val="32"/>
          <w:szCs w:val="32"/>
        </w:rPr>
        <w:t>住院</w:t>
      </w:r>
      <w:r>
        <w:rPr>
          <w:rFonts w:hint="eastAsia" w:ascii="仿宋_GB2312" w:hAnsi="仿宋_GB2312" w:eastAsia="仿宋_GB2312" w:cs="仿宋_GB2312"/>
          <w:sz w:val="32"/>
          <w:szCs w:val="32"/>
        </w:rPr>
        <w:t>综合楼西北</w:t>
      </w:r>
      <w:r>
        <w:rPr>
          <w:rFonts w:ascii="仿宋_GB2312" w:hAnsi="仿宋_GB2312" w:eastAsia="仿宋_GB2312" w:cs="仿宋_GB2312"/>
          <w:sz w:val="32"/>
          <w:szCs w:val="32"/>
        </w:rPr>
        <w:t>方向，并</w:t>
      </w:r>
      <w:r>
        <w:rPr>
          <w:rFonts w:ascii="仿宋_GB2312" w:hAnsi="仿宋_GB2312" w:eastAsia="仿宋_GB2312" w:cs="仿宋_GB2312"/>
          <w:color w:val="000000" w:themeColor="text1"/>
          <w:sz w:val="32"/>
          <w:szCs w:val="32"/>
          <w14:textFill>
            <w14:solidFill>
              <w14:schemeClr w14:val="tx1"/>
            </w14:solidFill>
          </w14:textFill>
        </w:rPr>
        <w:t>与其接壤</w:t>
      </w:r>
      <w:r>
        <w:rPr>
          <w:rFonts w:hint="eastAsia" w:ascii="仿宋_GB2312" w:hAnsi="仿宋_GB2312" w:eastAsia="仿宋_GB2312" w:cs="仿宋_GB2312"/>
          <w:color w:val="000000" w:themeColor="text1"/>
          <w:sz w:val="32"/>
          <w:szCs w:val="32"/>
          <w14:textFill>
            <w14:solidFill>
              <w14:schemeClr w14:val="tx1"/>
            </w14:solidFill>
          </w14:textFill>
        </w:rPr>
        <w:t>，该楼初步规划</w:t>
      </w:r>
      <w:r>
        <w:rPr>
          <w:rFonts w:ascii="仿宋_GB2312" w:hAnsi="仿宋_GB2312" w:eastAsia="仿宋_GB2312" w:cs="仿宋_GB2312"/>
          <w:color w:val="000000" w:themeColor="text1"/>
          <w:sz w:val="32"/>
          <w:szCs w:val="32"/>
          <w14:textFill>
            <w14:solidFill>
              <w14:schemeClr w14:val="tx1"/>
            </w14:solidFill>
          </w14:textFill>
        </w:rPr>
        <w:t>设置地上</w:t>
      </w:r>
      <w:r>
        <w:rPr>
          <w:rFonts w:hint="eastAsia" w:ascii="仿宋_GB2312" w:hAnsi="仿宋_GB2312" w:eastAsia="仿宋_GB2312" w:cs="仿宋_GB2312"/>
          <w:color w:val="000000" w:themeColor="text1"/>
          <w:sz w:val="32"/>
          <w:szCs w:val="32"/>
          <w14:textFill>
            <w14:solidFill>
              <w14:schemeClr w14:val="tx1"/>
            </w14:solidFill>
          </w14:textFill>
        </w:rPr>
        <w:t>13层（总建筑面积约</w:t>
      </w:r>
      <w:r>
        <w:rPr>
          <w:rFonts w:ascii="仿宋_GB2312" w:hAnsi="仿宋_GB2312" w:eastAsia="仿宋_GB2312" w:cs="仿宋_GB2312"/>
          <w:color w:val="000000" w:themeColor="text1"/>
          <w:sz w:val="32"/>
          <w:szCs w:val="32"/>
          <w14:textFill>
            <w14:solidFill>
              <w14:schemeClr w14:val="tx1"/>
            </w14:solidFill>
          </w14:textFill>
        </w:rPr>
        <w:t>36000</w:t>
      </w:r>
      <w:r>
        <w:rPr>
          <w:rFonts w:hint="eastAsia" w:ascii="Batang" w:hAnsi="Batang" w:eastAsia="Batang" w:cs="Batang"/>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，地下</w:t>
      </w:r>
      <w:r>
        <w:rPr>
          <w:rFonts w:hint="eastAsia" w:ascii="仿宋_GB2312" w:hAnsi="仿宋_GB2312" w:eastAsia="仿宋_GB2312" w:cs="仿宋_GB2312"/>
          <w:color w:val="000000" w:themeColor="text1"/>
          <w:sz w:val="32"/>
          <w:szCs w:val="32"/>
          <w14:textFill>
            <w14:solidFill>
              <w14:schemeClr w14:val="tx1"/>
            </w14:solidFill>
          </w14:textFill>
        </w:rPr>
        <w:t>1层（总建筑面积</w:t>
      </w:r>
      <w:r>
        <w:rPr>
          <w:rFonts w:ascii="仿宋_GB2312" w:hAnsi="仿宋_GB2312" w:eastAsia="仿宋_GB2312" w:cs="仿宋_GB2312"/>
          <w:color w:val="000000" w:themeColor="text1"/>
          <w:sz w:val="32"/>
          <w:szCs w:val="32"/>
          <w14:textFill>
            <w14:solidFill>
              <w14:schemeClr w14:val="tx1"/>
            </w14:solidFill>
          </w14:textFill>
        </w:rPr>
        <w:t>约28000</w:t>
      </w:r>
      <w:r>
        <w:rPr>
          <w:rFonts w:hint="eastAsia" w:ascii="Batang" w:hAnsi="Batang" w:eastAsia="Batang" w:cs="Batang"/>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二期科教楼位于</w:t>
      </w:r>
      <w:r>
        <w:rPr>
          <w:rFonts w:ascii="仿宋_GB2312" w:hAnsi="仿宋_GB2312" w:eastAsia="仿宋_GB2312" w:cs="仿宋_GB2312"/>
          <w:color w:val="000000" w:themeColor="text1"/>
          <w:sz w:val="32"/>
          <w:szCs w:val="32"/>
          <w14:textFill>
            <w14:solidFill>
              <w14:schemeClr w14:val="tx1"/>
            </w14:solidFill>
          </w14:textFill>
        </w:rPr>
        <w:t>现</w:t>
      </w:r>
      <w:r>
        <w:rPr>
          <w:rFonts w:ascii="仿宋_GB2312" w:hAnsi="仿宋_GB2312" w:eastAsia="仿宋_GB2312" w:cs="仿宋_GB2312"/>
          <w:sz w:val="32"/>
          <w:szCs w:val="32"/>
        </w:rPr>
        <w:t>一期行政后勤综合</w:t>
      </w:r>
      <w:r>
        <w:rPr>
          <w:rFonts w:hint="eastAsia" w:ascii="仿宋_GB2312" w:hAnsi="仿宋_GB2312" w:eastAsia="仿宋_GB2312" w:cs="仿宋_GB2312"/>
          <w:color w:val="000000" w:themeColor="text1"/>
          <w:sz w:val="32"/>
          <w:szCs w:val="32"/>
          <w14:textFill>
            <w14:solidFill>
              <w14:schemeClr w14:val="tx1"/>
            </w14:solidFill>
          </w14:textFill>
        </w:rPr>
        <w:t>楼北侧，初步确定地上建筑面积约16000㎡，共建设11层。</w:t>
      </w:r>
    </w:p>
    <w:p>
      <w:pPr>
        <w:spacing w:line="560"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项目预算：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130</w:t>
      </w:r>
      <w:r>
        <w:rPr>
          <w:rFonts w:hint="eastAsia" w:ascii="仿宋_GB2312" w:hAnsi="仿宋_GB2312" w:eastAsia="仿宋_GB2312" w:cs="仿宋_GB2312"/>
          <w:color w:val="000000" w:themeColor="text1"/>
          <w:sz w:val="32"/>
          <w:szCs w:val="32"/>
          <w14:textFill>
            <w14:solidFill>
              <w14:schemeClr w14:val="tx1"/>
            </w14:solidFill>
          </w14:textFill>
        </w:rPr>
        <w:t>000元</w:t>
      </w:r>
    </w:p>
    <w:p>
      <w:pPr>
        <w:spacing w:line="560"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.项目采购编号：SCFY-TFYQXMB202210-001（磋）。</w:t>
      </w:r>
    </w:p>
    <w:p>
      <w:pPr>
        <w:spacing w:line="560" w:lineRule="exact"/>
        <w:ind w:firstLine="640"/>
        <w:rPr>
          <w:rFonts w:ascii="黑体" w:hAnsi="黑体" w:eastAsia="黑体"/>
          <w:bCs/>
          <w:color w:val="000000"/>
          <w:sz w:val="32"/>
          <w:szCs w:val="32"/>
        </w:rPr>
      </w:pPr>
      <w:r>
        <w:rPr>
          <w:rFonts w:hint="eastAsia" w:ascii="黑体" w:hAnsi="黑体" w:eastAsia="黑体"/>
          <w:bCs/>
          <w:color w:val="000000"/>
          <w:sz w:val="32"/>
          <w:szCs w:val="32"/>
        </w:rPr>
        <w:t>二、服务内容</w:t>
      </w:r>
    </w:p>
    <w:p>
      <w:pPr>
        <w:spacing w:line="560" w:lineRule="exact"/>
        <w:ind w:firstLine="64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1.水土保持方案编制</w:t>
      </w:r>
    </w:p>
    <w:p>
      <w:pPr>
        <w:spacing w:line="560" w:lineRule="exact"/>
        <w:ind w:firstLine="640"/>
        <w:rPr>
          <w:rFonts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（1）. 咨询内容：</w:t>
      </w:r>
    </w:p>
    <w:p>
      <w:pPr>
        <w:spacing w:line="560" w:lineRule="exact"/>
        <w:ind w:firstLine="640"/>
        <w:rPr>
          <w:rFonts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1)对项目所在地及本工程涉及区域生态水利及水土流失现状进行评价；</w:t>
      </w:r>
    </w:p>
    <w:p>
      <w:pPr>
        <w:spacing w:line="560" w:lineRule="exact"/>
        <w:ind w:firstLine="640"/>
        <w:rPr>
          <w:rFonts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2)对工程建设引起的水土流失及项目区危害进行预测及评价；</w:t>
      </w:r>
    </w:p>
    <w:p>
      <w:pPr>
        <w:spacing w:line="560" w:lineRule="exact"/>
        <w:ind w:firstLine="640"/>
        <w:rPr>
          <w:rFonts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3)科学合理地提出本工程的各项水土保持防治措施。</w:t>
      </w:r>
    </w:p>
    <w:p>
      <w:pPr>
        <w:spacing w:line="560" w:lineRule="exact"/>
        <w:ind w:firstLine="640"/>
        <w:rPr>
          <w:rFonts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val="zh-CN"/>
          <w14:textFill>
            <w14:solidFill>
              <w14:schemeClr w14:val="tx1"/>
            </w14:solidFill>
          </w14:textFill>
        </w:rPr>
        <w:t>）. 咨询要求：</w:t>
      </w:r>
    </w:p>
    <w:p>
      <w:pPr>
        <w:spacing w:line="560" w:lineRule="exact"/>
        <w:ind w:firstLine="640"/>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满足国家和地方关于水土保持方案内容编制深度规定的要求，按照水土保持方案编制技术规范和水保主管部门的要求进行水土保持方案编制工作，工作成果通过专家技术评审，对该项目水土保持方案编制文件的结论负责。</w:t>
      </w:r>
    </w:p>
    <w:p>
      <w:pPr>
        <w:widowControl/>
        <w:adjustRightInd w:val="0"/>
        <w:snapToGrid w:val="0"/>
        <w:spacing w:line="560" w:lineRule="exact"/>
        <w:ind w:firstLine="480"/>
        <w:jc w:val="left"/>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2.水土监测</w:t>
      </w:r>
    </w:p>
    <w:p>
      <w:pPr>
        <w:widowControl/>
        <w:adjustRightInd w:val="0"/>
        <w:snapToGrid w:val="0"/>
        <w:spacing w:line="560" w:lineRule="exact"/>
        <w:ind w:firstLine="480"/>
        <w:jc w:val="left"/>
        <w:rPr>
          <w:rFonts w:hint="eastAsia" w:ascii="仿宋" w:hAnsi="仿宋" w:eastAsia="仿宋" w:cs="宋体"/>
          <w:kern w:val="0"/>
          <w:sz w:val="32"/>
          <w:szCs w:val="32"/>
        </w:rPr>
      </w:pPr>
      <w:r>
        <w:rPr>
          <w:rFonts w:hint="eastAsia" w:ascii="仿宋" w:hAnsi="仿宋" w:eastAsia="仿宋" w:cs="宋体"/>
          <w:kern w:val="0"/>
          <w:sz w:val="32"/>
          <w:szCs w:val="32"/>
          <w:lang w:val="en-US" w:eastAsia="zh-CN"/>
        </w:rPr>
        <w:t>（1）.</w:t>
      </w:r>
      <w:r>
        <w:rPr>
          <w:rFonts w:hint="eastAsia" w:ascii="仿宋" w:hAnsi="仿宋" w:eastAsia="仿宋" w:cs="宋体"/>
          <w:kern w:val="0"/>
          <w:sz w:val="32"/>
          <w:szCs w:val="32"/>
          <w:lang w:eastAsia="zh-CN"/>
        </w:rPr>
        <w:t>本</w:t>
      </w:r>
      <w:r>
        <w:rPr>
          <w:rFonts w:hint="eastAsia" w:ascii="仿宋" w:hAnsi="仿宋" w:eastAsia="仿宋" w:cs="宋体"/>
          <w:kern w:val="0"/>
          <w:sz w:val="32"/>
          <w:szCs w:val="32"/>
        </w:rPr>
        <w:t>建设项目监测应包括以下内容：</w:t>
      </w:r>
    </w:p>
    <w:p>
      <w:pPr>
        <w:widowControl/>
        <w:adjustRightInd w:val="0"/>
        <w:snapToGrid w:val="0"/>
        <w:spacing w:line="560" w:lineRule="exact"/>
        <w:ind w:firstLine="480"/>
        <w:jc w:val="left"/>
        <w:rPr>
          <w:rFonts w:hint="eastAsia" w:ascii="仿宋" w:hAnsi="仿宋" w:eastAsia="仿宋" w:cs="宋体"/>
          <w:kern w:val="0"/>
          <w:sz w:val="32"/>
          <w:szCs w:val="32"/>
        </w:rPr>
      </w:pPr>
      <w:r>
        <w:rPr>
          <w:rFonts w:hint="eastAsia" w:ascii="仿宋" w:hAnsi="仿宋" w:eastAsia="仿宋" w:cs="宋体"/>
          <w:kern w:val="0"/>
          <w:sz w:val="32"/>
          <w:szCs w:val="32"/>
        </w:rPr>
        <w:t>1）应通过设立典型观测断面、观测点、观测基准等，对建设项目在生产建设和运行初期的水土流失及其防治效果进行监测。</w:t>
      </w:r>
    </w:p>
    <w:p>
      <w:pPr>
        <w:widowControl/>
        <w:adjustRightInd w:val="0"/>
        <w:snapToGrid w:val="0"/>
        <w:spacing w:line="560" w:lineRule="exact"/>
        <w:ind w:firstLine="480"/>
        <w:jc w:val="left"/>
        <w:rPr>
          <w:rFonts w:hint="eastAsia" w:ascii="仿宋" w:hAnsi="仿宋" w:eastAsia="仿宋" w:cs="宋体"/>
          <w:kern w:val="0"/>
          <w:sz w:val="32"/>
          <w:szCs w:val="32"/>
        </w:rPr>
      </w:pPr>
      <w:r>
        <w:rPr>
          <w:rFonts w:hint="eastAsia" w:ascii="仿宋" w:hAnsi="仿宋" w:eastAsia="仿宋" w:cs="宋体"/>
          <w:kern w:val="0"/>
          <w:sz w:val="32"/>
          <w:szCs w:val="32"/>
        </w:rPr>
        <w:t>2） 项目建设区水土流失因子监测应包括下列项目：地形、地貌和水系的变化情况： 建设项目占用地面积、扰动地表面积；项目挖方、填方数量及面积、弃土、弃石、弃渣量及堆放面积；项目区林草覆盖度。</w:t>
      </w:r>
    </w:p>
    <w:p>
      <w:pPr>
        <w:widowControl/>
        <w:adjustRightInd w:val="0"/>
        <w:snapToGrid w:val="0"/>
        <w:spacing w:line="560" w:lineRule="exact"/>
        <w:ind w:firstLine="480"/>
        <w:jc w:val="left"/>
        <w:rPr>
          <w:rFonts w:hint="eastAsia" w:ascii="仿宋" w:hAnsi="仿宋" w:eastAsia="仿宋" w:cs="宋体"/>
          <w:kern w:val="0"/>
          <w:sz w:val="32"/>
          <w:szCs w:val="32"/>
        </w:rPr>
      </w:pPr>
      <w:r>
        <w:rPr>
          <w:rFonts w:hint="eastAsia" w:ascii="仿宋" w:hAnsi="仿宋" w:eastAsia="仿宋" w:cs="宋体"/>
          <w:kern w:val="0"/>
          <w:sz w:val="32"/>
          <w:szCs w:val="32"/>
        </w:rPr>
        <w:t>3）水土流失状况监测应包括下列资料：水土流失面积变化情况；水土流失量变化情况；水土流失程度变化情况；对下游和周边地区造成的危害及其趋势。</w:t>
      </w:r>
    </w:p>
    <w:p>
      <w:pPr>
        <w:widowControl/>
        <w:adjustRightInd w:val="0"/>
        <w:snapToGrid w:val="0"/>
        <w:spacing w:line="560" w:lineRule="exact"/>
        <w:ind w:firstLine="480"/>
        <w:jc w:val="left"/>
        <w:rPr>
          <w:rFonts w:hint="eastAsia" w:ascii="仿宋" w:hAnsi="仿宋" w:eastAsia="仿宋" w:cs="宋体"/>
          <w:kern w:val="0"/>
          <w:sz w:val="32"/>
          <w:szCs w:val="32"/>
        </w:rPr>
      </w:pPr>
      <w:r>
        <w:rPr>
          <w:rFonts w:hint="eastAsia" w:ascii="仿宋" w:hAnsi="仿宋" w:eastAsia="仿宋" w:cs="宋体"/>
          <w:kern w:val="0"/>
          <w:sz w:val="32"/>
          <w:szCs w:val="32"/>
        </w:rPr>
        <w:t>4）水土流失防治效果监测应包括下列项目：防治措施的数量和质量；林草措施成活率、保存率、生长情况及覆盖度；防护工程的稳定性、完好成度和运行情况；各项防治措施的拦渣保土效果。</w:t>
      </w:r>
    </w:p>
    <w:p>
      <w:pPr>
        <w:widowControl/>
        <w:adjustRightInd w:val="0"/>
        <w:snapToGrid w:val="0"/>
        <w:spacing w:line="560" w:lineRule="exact"/>
        <w:ind w:firstLine="480"/>
        <w:jc w:val="left"/>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(2).监测的工作要求：</w:t>
      </w:r>
    </w:p>
    <w:p>
      <w:pPr>
        <w:widowControl/>
        <w:adjustRightInd w:val="0"/>
        <w:snapToGrid w:val="0"/>
        <w:spacing w:line="560" w:lineRule="exact"/>
        <w:ind w:firstLine="480"/>
        <w:jc w:val="left"/>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1）在进场前要编制监测实施方案，落实监测人员、设备等。</w:t>
      </w:r>
    </w:p>
    <w:p>
      <w:pPr>
        <w:widowControl/>
        <w:adjustRightInd w:val="0"/>
        <w:snapToGrid w:val="0"/>
        <w:spacing w:line="560" w:lineRule="exact"/>
        <w:ind w:firstLine="480"/>
        <w:jc w:val="left"/>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2）项目施工期间至少每季度进行一次监测，并形成监测季报 ，并将该年度内的监测季报整合编写监测年报 ，具体过程监测资料以本项目水保批复的主管部门要求为准。</w:t>
      </w:r>
    </w:p>
    <w:p>
      <w:pPr>
        <w:widowControl/>
        <w:adjustRightInd w:val="0"/>
        <w:snapToGrid w:val="0"/>
        <w:spacing w:line="560" w:lineRule="exact"/>
        <w:ind w:firstLine="480"/>
        <w:jc w:val="left"/>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 w:hAnsi="仿宋" w:eastAsia="仿宋" w:cs="宋体"/>
          <w:kern w:val="0"/>
          <w:sz w:val="32"/>
          <w:szCs w:val="32"/>
          <w:lang w:val="en-US" w:eastAsia="zh-CN"/>
        </w:rPr>
        <w:t>3）工程完工后，将所有监测过程资料汇总，形成水土保持监测总结报告，为项目的水保验收顺利通过提供支撑性材料。</w:t>
      </w:r>
    </w:p>
    <w:p>
      <w:pPr>
        <w:spacing w:line="560" w:lineRule="exact"/>
        <w:ind w:firstLine="640"/>
        <w:rPr>
          <w:rFonts w:ascii="黑体" w:hAnsi="黑体" w:eastAsia="黑体"/>
          <w:bCs/>
          <w:color w:val="000000"/>
          <w:sz w:val="32"/>
          <w:szCs w:val="32"/>
        </w:rPr>
      </w:pPr>
      <w:bookmarkStart w:id="0" w:name="_Toc373841013"/>
      <w:bookmarkStart w:id="1" w:name="_Toc144974500"/>
      <w:bookmarkStart w:id="2" w:name="_Toc294017670"/>
      <w:bookmarkStart w:id="3" w:name="_Toc152045532"/>
      <w:bookmarkStart w:id="4" w:name="_Toc439847859"/>
      <w:bookmarkStart w:id="5" w:name="_Toc152042308"/>
      <w:bookmarkStart w:id="6" w:name="_Toc329876873"/>
      <w:r>
        <w:rPr>
          <w:rFonts w:hint="eastAsia" w:ascii="黑体" w:hAnsi="黑体" w:eastAsia="黑体"/>
          <w:bCs/>
          <w:color w:val="000000"/>
          <w:sz w:val="32"/>
          <w:szCs w:val="32"/>
        </w:rPr>
        <w:t>三、服务期限和质量要求</w:t>
      </w:r>
      <w:bookmarkEnd w:id="0"/>
      <w:bookmarkEnd w:id="1"/>
      <w:bookmarkEnd w:id="2"/>
      <w:bookmarkEnd w:id="3"/>
      <w:bookmarkEnd w:id="4"/>
      <w:bookmarkEnd w:id="5"/>
      <w:bookmarkEnd w:id="6"/>
    </w:p>
    <w:p>
      <w:pPr>
        <w:autoSpaceDE w:val="0"/>
        <w:autoSpaceDN w:val="0"/>
        <w:adjustRightInd w:val="0"/>
        <w:ind w:firstLine="640"/>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zh-CN"/>
          <w14:textFill>
            <w14:solidFill>
              <w14:schemeClr w14:val="tx1"/>
            </w14:solidFill>
          </w14:textFill>
        </w:rPr>
        <w:t>水土保持方案的编制</w:t>
      </w:r>
      <w:r>
        <w:rPr>
          <w:rFonts w:hint="eastAsia" w:ascii="仿宋_GB2312" w:hAnsi="仿宋_GB2312" w:eastAsia="仿宋_GB2312" w:cs="仿宋_GB2312"/>
          <w:color w:val="000000" w:themeColor="text1"/>
          <w:sz w:val="32"/>
          <w:szCs w:val="32"/>
          <w14:textFill>
            <w14:solidFill>
              <w14:schemeClr w14:val="tx1"/>
            </w14:solidFill>
          </w14:textFill>
        </w:rPr>
        <w:t>服务期：</w:t>
      </w:r>
      <w:r>
        <w:rPr>
          <w:rFonts w:hint="eastAsia" w:ascii="仿宋_GB2312" w:hAnsi="仿宋_GB2312" w:eastAsia="仿宋_GB2312" w:cs="仿宋_GB2312"/>
          <w:color w:val="000000" w:themeColor="text1"/>
          <w:sz w:val="32"/>
          <w:szCs w:val="32"/>
          <w:lang w:val="zh-CN"/>
          <w14:textFill>
            <w14:solidFill>
              <w14:schemeClr w14:val="tx1"/>
            </w14:solidFill>
          </w14:textFill>
        </w:rPr>
        <w:t>应于甲方提供相关资料齐全后</w:t>
      </w:r>
      <w:r>
        <w:rPr>
          <w:rFonts w:hint="eastAsia" w:ascii="仿宋_GB2312" w:hAnsi="仿宋_GB2312" w:eastAsia="仿宋_GB2312" w:cs="仿宋_GB2312"/>
          <w:color w:val="0000FF"/>
          <w:sz w:val="32"/>
          <w:szCs w:val="32"/>
          <w:lang w:val="zh-CN"/>
        </w:rPr>
        <w:t>10</w:t>
      </w:r>
      <w:r>
        <w:rPr>
          <w:rFonts w:hint="eastAsia" w:ascii="仿宋_GB2312" w:hAnsi="仿宋_GB2312" w:eastAsia="仿宋_GB2312" w:cs="仿宋_GB2312"/>
          <w:color w:val="000000" w:themeColor="text1"/>
          <w:sz w:val="32"/>
          <w:szCs w:val="32"/>
          <w:lang w:val="zh-CN"/>
          <w14:textFill>
            <w14:solidFill>
              <w14:schemeClr w14:val="tx1"/>
            </w14:solidFill>
          </w14:textFill>
        </w:rPr>
        <w:t>个工作日完成上述工程水土保持方案的编制。按并在规定的时间内通过水保主管部门审查，并取得相关批复文件。</w:t>
      </w:r>
    </w:p>
    <w:p>
      <w:pPr>
        <w:autoSpaceDE w:val="0"/>
        <w:autoSpaceDN w:val="0"/>
        <w:adjustRightInd w:val="0"/>
        <w:ind w:firstLine="640"/>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val="zh-CN"/>
          <w14:textFill>
            <w14:solidFill>
              <w14:schemeClr w14:val="tx1"/>
            </w14:solidFill>
          </w14:textFill>
        </w:rPr>
        <w:t>水土保持</w:t>
      </w:r>
      <w:r>
        <w:rPr>
          <w:rFonts w:hint="eastAsia" w:ascii="仿宋" w:hAnsi="仿宋" w:eastAsia="仿宋" w:cs="宋体"/>
          <w:kern w:val="0"/>
          <w:sz w:val="32"/>
          <w:szCs w:val="32"/>
          <w:lang w:val="en-US" w:eastAsia="zh-CN"/>
        </w:rPr>
        <w:t>监测</w:t>
      </w:r>
      <w:r>
        <w:rPr>
          <w:rFonts w:hint="eastAsia" w:ascii="仿宋_GB2312" w:hAnsi="仿宋_GB2312" w:eastAsia="仿宋_GB2312" w:cs="仿宋_GB2312"/>
          <w:color w:val="000000" w:themeColor="text1"/>
          <w:sz w:val="32"/>
          <w:szCs w:val="32"/>
          <w14:textFill>
            <w14:solidFill>
              <w14:schemeClr w14:val="tx1"/>
            </w14:solidFill>
          </w14:textFill>
        </w:rPr>
        <w:t>服务期：中标人提交的水土保持监测报告应当符合国家现行技术标准、规范、规程和技术条例，以及水行政主管部门要求，按施工周期每季度第一个自然月报送季报等资料到水行政主管部门</w:t>
      </w:r>
      <w:r>
        <w:rPr>
          <w:rFonts w:hint="eastAsia" w:ascii="仿宋_GB2312" w:hAnsi="仿宋_GB2312" w:eastAsia="仿宋_GB2312" w:cs="仿宋_GB2312"/>
          <w:color w:val="000000" w:themeColor="text1"/>
          <w:sz w:val="32"/>
          <w:szCs w:val="32"/>
          <w:lang w:eastAsia="zh-CN"/>
          <w14:textFill>
            <w14:solidFill>
              <w14:schemeClr w14:val="tx1"/>
            </w14:solidFill>
          </w14:textFill>
        </w:rPr>
        <w:t>和甲方，直到工程绿化施工及土地硬化施工结束</w:t>
      </w:r>
      <w:r>
        <w:rPr>
          <w:rFonts w:hint="eastAsia" w:ascii="仿宋_GB2312" w:hAnsi="仿宋_GB2312" w:eastAsia="仿宋_GB2312" w:cs="仿宋_GB2312"/>
          <w:color w:val="000000" w:themeColor="text1"/>
          <w:sz w:val="32"/>
          <w:szCs w:val="32"/>
          <w:lang w:val="zh-CN"/>
          <w14:textFill>
            <w14:solidFill>
              <w14:schemeClr w14:val="tx1"/>
            </w14:solidFill>
          </w14:textFill>
        </w:rPr>
        <w:t>。</w:t>
      </w:r>
    </w:p>
    <w:p>
      <w:pPr>
        <w:ind w:left="0" w:leftChars="0"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.质量要求：达到国家现行技术标准及本项目合同要求，以上标准有冲突时，以要求较高、较严者为准。</w:t>
      </w:r>
    </w:p>
    <w:p>
      <w:pPr>
        <w:ind w:firstLine="640"/>
        <w:rPr>
          <w:rFonts w:ascii="黑体" w:hAnsi="黑体" w:eastAsia="黑体"/>
          <w:bCs/>
          <w:color w:val="000000"/>
          <w:sz w:val="32"/>
          <w:szCs w:val="32"/>
        </w:rPr>
      </w:pPr>
      <w:r>
        <w:rPr>
          <w:rFonts w:hint="eastAsia" w:ascii="黑体" w:hAnsi="黑体" w:eastAsia="黑体"/>
          <w:bCs/>
          <w:color w:val="000000"/>
          <w:sz w:val="32"/>
          <w:szCs w:val="32"/>
        </w:rPr>
        <w:t>四、</w:t>
      </w:r>
      <w:r>
        <w:rPr>
          <w:rFonts w:ascii="黑体" w:hAnsi="黑体" w:eastAsia="黑体"/>
          <w:bCs/>
          <w:color w:val="000000"/>
          <w:sz w:val="32"/>
          <w:szCs w:val="32"/>
        </w:rPr>
        <w:t xml:space="preserve"> 成果</w:t>
      </w:r>
      <w:r>
        <w:rPr>
          <w:rFonts w:hint="eastAsia" w:ascii="黑体" w:hAnsi="黑体" w:eastAsia="黑体"/>
          <w:bCs/>
          <w:color w:val="000000"/>
          <w:sz w:val="32"/>
          <w:szCs w:val="32"/>
        </w:rPr>
        <w:t>文件</w:t>
      </w:r>
    </w:p>
    <w:p>
      <w:pPr>
        <w:ind w:firstLine="640"/>
        <w:rPr>
          <w:rFonts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zh-CN"/>
          <w14:textFill>
            <w14:solidFill>
              <w14:schemeClr w14:val="tx1"/>
            </w14:solidFill>
          </w14:textFill>
        </w:rPr>
        <w:t>建设项目水土保持方案报告。</w:t>
      </w:r>
    </w:p>
    <w:p>
      <w:pPr>
        <w:ind w:firstLine="640"/>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zh-CN"/>
          <w14:textFill>
            <w14:solidFill>
              <w14:schemeClr w14:val="tx1"/>
            </w14:solidFill>
          </w14:textFill>
        </w:rPr>
        <w:t>行政主管部门审查并取得批复性文件。</w:t>
      </w:r>
    </w:p>
    <w:p>
      <w:pPr>
        <w:ind w:firstLine="640"/>
        <w:rPr>
          <w:rFonts w:hint="default" w:eastAsia="仿宋_GB2312"/>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3、完成水土监测报告</w:t>
      </w:r>
    </w:p>
    <w:p>
      <w:pPr>
        <w:spacing w:line="560" w:lineRule="exact"/>
        <w:ind w:firstLine="640"/>
        <w:rPr>
          <w:rFonts w:ascii="黑体" w:hAnsi="黑体" w:eastAsia="黑体"/>
          <w:bCs/>
          <w:color w:val="000000"/>
          <w:sz w:val="32"/>
          <w:szCs w:val="32"/>
        </w:rPr>
      </w:pPr>
      <w:r>
        <w:rPr>
          <w:rFonts w:hint="eastAsia" w:ascii="黑体" w:hAnsi="黑体" w:eastAsia="黑体"/>
          <w:bCs/>
          <w:color w:val="000000"/>
          <w:sz w:val="32"/>
          <w:szCs w:val="32"/>
        </w:rPr>
        <w:t>五、水土保持方案编制单位要求及选取方式</w:t>
      </w:r>
    </w:p>
    <w:p>
      <w:pPr>
        <w:widowControl/>
        <w:shd w:val="clear" w:color="auto" w:fill="FFFFFF"/>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（一）单位资格要求</w:t>
      </w:r>
    </w:p>
    <w:p>
      <w:pPr>
        <w:widowControl/>
        <w:shd w:val="clear" w:color="auto" w:fill="FFFFFF"/>
        <w:spacing w:line="560" w:lineRule="exact"/>
        <w:ind w:firstLine="640"/>
        <w:jc w:val="left"/>
        <w:rPr>
          <w:rFonts w:hint="eastAsia" w:ascii="仿宋_GB2312" w:hAnsi="Microsoft YaHei UI" w:eastAsia="仿宋_GB2312" w:cs="宋体"/>
          <w:color w:val="000000"/>
          <w:kern w:val="0"/>
          <w:sz w:val="32"/>
          <w:szCs w:val="32"/>
        </w:rPr>
      </w:pPr>
      <w:r>
        <w:rPr>
          <w:rFonts w:hint="eastAsia" w:ascii="仿宋_GB2312" w:hAnsi="Microsoft YaHei UI" w:eastAsia="仿宋_GB2312" w:cs="宋体"/>
          <w:color w:val="000000"/>
          <w:kern w:val="0"/>
          <w:sz w:val="32"/>
          <w:szCs w:val="32"/>
        </w:rPr>
        <w:t>1.参与投标的投标人必须具有独立法人资格；</w:t>
      </w:r>
    </w:p>
    <w:p>
      <w:pPr>
        <w:widowControl/>
        <w:shd w:val="clear" w:color="auto" w:fill="FFFFFF"/>
        <w:spacing w:line="560" w:lineRule="exact"/>
        <w:ind w:firstLine="640"/>
        <w:jc w:val="left"/>
        <w:rPr>
          <w:rFonts w:hint="eastAsia" w:ascii="仿宋_GB2312" w:hAnsi="Microsoft YaHei UI" w:eastAsia="仿宋_GB2312" w:cs="宋体"/>
          <w:color w:val="000000"/>
          <w:kern w:val="0"/>
          <w:sz w:val="32"/>
          <w:szCs w:val="32"/>
        </w:rPr>
      </w:pPr>
      <w:r>
        <w:rPr>
          <w:rFonts w:hint="eastAsia" w:ascii="仿宋_GB2312" w:hAnsi="Microsoft YaHei UI" w:eastAsia="仿宋_GB2312" w:cs="宋体"/>
          <w:color w:val="000000"/>
          <w:kern w:val="0"/>
          <w:sz w:val="32"/>
          <w:szCs w:val="32"/>
        </w:rPr>
        <w:t>2.生产建设项目水土保持方案编制单位水平评价证书1星和生产建设项目水土保持监测单位水平评价证书1星及以上资质；</w:t>
      </w:r>
    </w:p>
    <w:p>
      <w:pPr>
        <w:widowControl/>
        <w:shd w:val="clear" w:color="auto" w:fill="FFFFFF"/>
        <w:spacing w:line="560" w:lineRule="exact"/>
        <w:ind w:firstLine="640"/>
        <w:jc w:val="left"/>
        <w:rPr>
          <w:rFonts w:ascii="仿宋_GB2312" w:hAnsi="Microsoft YaHei UI" w:eastAsia="仿宋_GB2312" w:cs="宋体"/>
          <w:color w:val="000000"/>
          <w:kern w:val="0"/>
          <w:sz w:val="32"/>
          <w:szCs w:val="32"/>
        </w:rPr>
      </w:pPr>
      <w:r>
        <w:rPr>
          <w:rFonts w:hint="eastAsia" w:ascii="仿宋_GB2312" w:hAnsi="Microsoft YaHei UI" w:eastAsia="仿宋_GB2312" w:cs="宋体"/>
          <w:color w:val="000000"/>
          <w:kern w:val="0"/>
          <w:sz w:val="32"/>
          <w:szCs w:val="32"/>
        </w:rPr>
        <w:t>3.未处于财产被接管、冻结、破产状态；未处于四川省行政区域内有关行政处罚期间；未处于投标禁止期内；</w:t>
      </w:r>
    </w:p>
    <w:p>
      <w:pPr>
        <w:widowControl/>
        <w:shd w:val="clear" w:color="auto" w:fill="FFFFFF"/>
        <w:spacing w:line="560" w:lineRule="exact"/>
        <w:ind w:firstLine="640"/>
        <w:jc w:val="left"/>
        <w:rPr>
          <w:rFonts w:ascii="仿宋_GB2312" w:hAnsi="Microsoft YaHei UI" w:eastAsia="仿宋_GB2312" w:cs="宋体"/>
          <w:color w:val="000000"/>
          <w:kern w:val="0"/>
          <w:sz w:val="32"/>
          <w:szCs w:val="32"/>
        </w:rPr>
      </w:pPr>
      <w:r>
        <w:rPr>
          <w:rFonts w:hint="eastAsia" w:ascii="仿宋_GB2312" w:hAnsi="Microsoft YaHei UI" w:eastAsia="仿宋_GB2312" w:cs="宋体"/>
          <w:color w:val="000000"/>
          <w:kern w:val="0"/>
          <w:sz w:val="32"/>
          <w:szCs w:val="32"/>
        </w:rPr>
        <w:t>4.具有良好的商业信誉和健全的财务会计制度；</w:t>
      </w:r>
    </w:p>
    <w:p>
      <w:pPr>
        <w:widowControl/>
        <w:shd w:val="clear" w:color="auto" w:fill="FFFFFF"/>
        <w:spacing w:line="560" w:lineRule="exact"/>
        <w:ind w:firstLine="640"/>
        <w:jc w:val="left"/>
        <w:rPr>
          <w:rFonts w:ascii="仿宋_GB2312" w:hAnsi="Microsoft YaHei UI" w:eastAsia="仿宋_GB2312" w:cs="宋体"/>
          <w:color w:val="000000"/>
          <w:kern w:val="0"/>
          <w:sz w:val="32"/>
          <w:szCs w:val="32"/>
        </w:rPr>
      </w:pPr>
      <w:r>
        <w:rPr>
          <w:rFonts w:hint="eastAsia" w:ascii="仿宋_GB2312" w:hAnsi="Microsoft YaHei UI" w:eastAsia="仿宋_GB2312" w:cs="宋体"/>
          <w:color w:val="000000"/>
          <w:kern w:val="0"/>
          <w:sz w:val="32"/>
          <w:szCs w:val="32"/>
        </w:rPr>
        <w:t>5.在人员、设备、资金等方面具有相应的能力；</w:t>
      </w:r>
    </w:p>
    <w:p>
      <w:pPr>
        <w:widowControl/>
        <w:shd w:val="clear" w:color="auto" w:fill="FFFFFF"/>
        <w:spacing w:line="560" w:lineRule="exact"/>
        <w:ind w:firstLine="640"/>
        <w:jc w:val="left"/>
        <w:rPr>
          <w:rFonts w:ascii="仿宋_GB2312" w:hAnsi="Microsoft YaHei UI" w:eastAsia="仿宋_GB2312" w:cs="宋体"/>
          <w:color w:val="000000"/>
          <w:kern w:val="0"/>
          <w:sz w:val="32"/>
          <w:szCs w:val="32"/>
        </w:rPr>
      </w:pPr>
      <w:r>
        <w:rPr>
          <w:rFonts w:hint="eastAsia" w:ascii="仿宋_GB2312" w:hAnsi="Microsoft YaHei UI" w:eastAsia="仿宋_GB2312" w:cs="宋体"/>
          <w:color w:val="000000"/>
          <w:kern w:val="0"/>
          <w:sz w:val="32"/>
          <w:szCs w:val="32"/>
        </w:rPr>
        <w:t>6.本次采购不接受联合体投标；</w:t>
      </w:r>
    </w:p>
    <w:p>
      <w:pPr>
        <w:widowControl/>
        <w:shd w:val="clear" w:color="auto" w:fill="FFFFFF"/>
        <w:spacing w:line="560" w:lineRule="exact"/>
        <w:ind w:firstLine="640"/>
        <w:jc w:val="left"/>
        <w:rPr>
          <w:rFonts w:ascii="仿宋_GB2312" w:hAnsi="Microsoft YaHei UI" w:eastAsia="仿宋_GB2312" w:cs="宋体"/>
          <w:color w:val="000000"/>
          <w:kern w:val="0"/>
          <w:sz w:val="32"/>
          <w:szCs w:val="32"/>
        </w:rPr>
      </w:pPr>
      <w:r>
        <w:rPr>
          <w:rFonts w:hint="eastAsia" w:ascii="仿宋_GB2312" w:hAnsi="Microsoft YaHei UI" w:eastAsia="仿宋_GB2312" w:cs="宋体"/>
          <w:color w:val="000000"/>
          <w:kern w:val="0"/>
          <w:sz w:val="32"/>
          <w:szCs w:val="32"/>
        </w:rPr>
        <w:t>8.省外企业需具备在有效期内的《省外企业进川承接业务备案证明》。</w:t>
      </w:r>
    </w:p>
    <w:p>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（二）选取方式</w:t>
      </w:r>
    </w:p>
    <w:p>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本项目将通过院内竞争性磋商确定水保单位。各参与单位根据“二、服务内容”，各自提供水保服务方案及水保编制报价参与竞争性磋商，选择出最优单位开展“</w:t>
      </w:r>
      <w:r>
        <w:rPr>
          <w:rFonts w:hint="eastAsia" w:ascii="仿宋_GB2312" w:eastAsia="仿宋_GB2312"/>
          <w:color w:val="000000"/>
          <w:sz w:val="32"/>
          <w:szCs w:val="32"/>
          <w:lang w:val="zh-CN"/>
        </w:rPr>
        <w:t>水土保持方案编制</w:t>
      </w:r>
      <w:r>
        <w:rPr>
          <w:rFonts w:hint="eastAsia" w:ascii="仿宋_GB2312" w:eastAsia="仿宋_GB2312"/>
          <w:color w:val="000000"/>
          <w:sz w:val="32"/>
          <w:szCs w:val="32"/>
        </w:rPr>
        <w:t>”相关工作。</w:t>
      </w:r>
    </w:p>
    <w:p>
      <w:pPr>
        <w:spacing w:line="560" w:lineRule="exact"/>
        <w:ind w:firstLine="640"/>
        <w:rPr>
          <w:rFonts w:ascii="黑体" w:hAnsi="黑体" w:eastAsia="黑体"/>
          <w:bCs/>
          <w:color w:val="000000"/>
          <w:sz w:val="32"/>
          <w:szCs w:val="32"/>
        </w:rPr>
      </w:pPr>
      <w:r>
        <w:rPr>
          <w:rFonts w:hint="eastAsia" w:ascii="黑体" w:hAnsi="黑体" w:eastAsia="黑体"/>
          <w:bCs/>
          <w:color w:val="000000"/>
          <w:sz w:val="32"/>
          <w:szCs w:val="32"/>
        </w:rPr>
        <w:t>六、其他事项</w:t>
      </w:r>
    </w:p>
    <w:p>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疫情期间不开展项目现场踏勘，可电话咨询沟通。</w:t>
      </w:r>
    </w:p>
    <w:p>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上班时间为8：00—12：00（上午），14：00—17：30（下午）</w:t>
      </w:r>
    </w:p>
    <w:p>
      <w:pPr>
        <w:spacing w:line="560" w:lineRule="exact"/>
        <w:ind w:firstLine="640"/>
        <w:rPr>
          <w:rFonts w:ascii="黑体" w:hAnsi="宋体" w:eastAsia="黑体"/>
          <w:b/>
          <w:bCs/>
          <w:color w:val="000000"/>
          <w:sz w:val="28"/>
          <w:szCs w:val="28"/>
        </w:rPr>
      </w:pPr>
      <w:r>
        <w:rPr>
          <w:rFonts w:hint="eastAsia" w:ascii="仿宋_GB2312" w:eastAsia="仿宋_GB2312"/>
          <w:color w:val="000000"/>
          <w:sz w:val="32"/>
          <w:szCs w:val="32"/>
        </w:rPr>
        <w:t>联系电话：65978214    刘老师</w:t>
      </w:r>
      <w:bookmarkStart w:id="7" w:name="_GoBack"/>
      <w:bookmarkEnd w:id="7"/>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光小标宋_CNKI">
    <w:altName w:val="宋体"/>
    <w:panose1 w:val="00000000000000000000"/>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Batang">
    <w:altName w:val="Malgun Gothic"/>
    <w:panose1 w:val="02030600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0Yzk1NDRkNTkxYTliYjE5YmExODRlMDE4NWYyNWUifQ=="/>
  </w:docVars>
  <w:rsids>
    <w:rsidRoot w:val="00A231DE"/>
    <w:rsid w:val="000B7129"/>
    <w:rsid w:val="000D3535"/>
    <w:rsid w:val="00213B96"/>
    <w:rsid w:val="00256F7A"/>
    <w:rsid w:val="002610A0"/>
    <w:rsid w:val="0029712D"/>
    <w:rsid w:val="002D73A2"/>
    <w:rsid w:val="00300F03"/>
    <w:rsid w:val="00351774"/>
    <w:rsid w:val="003D1CA5"/>
    <w:rsid w:val="00403CE8"/>
    <w:rsid w:val="004C1299"/>
    <w:rsid w:val="004F2D2C"/>
    <w:rsid w:val="00560F0C"/>
    <w:rsid w:val="005A2CEC"/>
    <w:rsid w:val="00615AED"/>
    <w:rsid w:val="00673992"/>
    <w:rsid w:val="00790113"/>
    <w:rsid w:val="007A101B"/>
    <w:rsid w:val="007D2D28"/>
    <w:rsid w:val="0096178B"/>
    <w:rsid w:val="00994C75"/>
    <w:rsid w:val="00997597"/>
    <w:rsid w:val="009B71E4"/>
    <w:rsid w:val="00A13A7E"/>
    <w:rsid w:val="00A231DE"/>
    <w:rsid w:val="00A35F21"/>
    <w:rsid w:val="00A46F2A"/>
    <w:rsid w:val="00A550BE"/>
    <w:rsid w:val="00AC1E25"/>
    <w:rsid w:val="00AD0AA0"/>
    <w:rsid w:val="00B55659"/>
    <w:rsid w:val="00B77683"/>
    <w:rsid w:val="00B8205C"/>
    <w:rsid w:val="00BF7086"/>
    <w:rsid w:val="00C035BD"/>
    <w:rsid w:val="00C77FCF"/>
    <w:rsid w:val="00C84C9E"/>
    <w:rsid w:val="00CA247D"/>
    <w:rsid w:val="00D06B3E"/>
    <w:rsid w:val="00D47144"/>
    <w:rsid w:val="00D83F40"/>
    <w:rsid w:val="05B5453A"/>
    <w:rsid w:val="07743C52"/>
    <w:rsid w:val="12A51165"/>
    <w:rsid w:val="13021412"/>
    <w:rsid w:val="16856CA3"/>
    <w:rsid w:val="1A7D12CD"/>
    <w:rsid w:val="24D75903"/>
    <w:rsid w:val="305C7A9C"/>
    <w:rsid w:val="333B1446"/>
    <w:rsid w:val="37264E39"/>
    <w:rsid w:val="39971A3A"/>
    <w:rsid w:val="4057639D"/>
    <w:rsid w:val="405D61C4"/>
    <w:rsid w:val="45A546C7"/>
    <w:rsid w:val="466551AA"/>
    <w:rsid w:val="4BDB2578"/>
    <w:rsid w:val="54331052"/>
    <w:rsid w:val="54DF6509"/>
    <w:rsid w:val="570A6D6C"/>
    <w:rsid w:val="57F64934"/>
    <w:rsid w:val="5BC04DE9"/>
    <w:rsid w:val="5BCC7119"/>
    <w:rsid w:val="5C8D5A42"/>
    <w:rsid w:val="60260E1E"/>
    <w:rsid w:val="61F45CEA"/>
    <w:rsid w:val="620718EE"/>
    <w:rsid w:val="635D7461"/>
    <w:rsid w:val="65E344E9"/>
    <w:rsid w:val="6C684043"/>
    <w:rsid w:val="73146C5A"/>
    <w:rsid w:val="78592C44"/>
    <w:rsid w:val="7A4E10D6"/>
    <w:rsid w:val="7BB14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3">
    <w:name w:val="heading 3"/>
    <w:basedOn w:val="1"/>
    <w:next w:val="1"/>
    <w:link w:val="14"/>
    <w:semiHidden/>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spacing w:line="240" w:lineRule="auto"/>
      <w:ind w:left="200" w:leftChars="200" w:hanging="200" w:hangingChars="200"/>
    </w:pPr>
    <w:rPr>
      <w:rFonts w:ascii="Calibri" w:hAnsi="Calibri"/>
      <w:szCs w:val="22"/>
    </w:rPr>
  </w:style>
  <w:style w:type="paragraph" w:styleId="4">
    <w:name w:val="Body Text"/>
    <w:basedOn w:val="1"/>
    <w:link w:val="11"/>
    <w:unhideWhenUsed/>
    <w:qFormat/>
    <w:uiPriority w:val="99"/>
    <w:pPr>
      <w:spacing w:after="120"/>
    </w:pPr>
  </w:style>
  <w:style w:type="paragraph" w:styleId="5">
    <w:name w:val="Body Text Indent"/>
    <w:basedOn w:val="1"/>
    <w:link w:val="12"/>
    <w:semiHidden/>
    <w:unhideWhenUsed/>
    <w:qFormat/>
    <w:uiPriority w:val="99"/>
    <w:pPr>
      <w:spacing w:after="120"/>
      <w:ind w:left="420" w:leftChars="200"/>
    </w:pPr>
  </w:style>
  <w:style w:type="paragraph" w:styleId="6">
    <w:name w:val="footer"/>
    <w:basedOn w:val="1"/>
    <w:link w:val="17"/>
    <w:unhideWhenUsed/>
    <w:qFormat/>
    <w:uiPriority w:val="99"/>
    <w:pPr>
      <w:tabs>
        <w:tab w:val="center" w:pos="4153"/>
        <w:tab w:val="right" w:pos="8306"/>
      </w:tabs>
      <w:snapToGrid w:val="0"/>
      <w:spacing w:line="240" w:lineRule="auto"/>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8">
    <w:name w:val="Normal (Web)"/>
    <w:basedOn w:val="1"/>
    <w:unhideWhenUsed/>
    <w:qFormat/>
    <w:uiPriority w:val="99"/>
    <w:pPr>
      <w:widowControl/>
      <w:spacing w:before="150" w:after="150" w:line="240" w:lineRule="auto"/>
      <w:ind w:firstLine="0" w:firstLineChars="0"/>
      <w:jc w:val="left"/>
    </w:pPr>
    <w:rPr>
      <w:rFonts w:ascii="宋体" w:hAnsi="宋体" w:cs="宋体"/>
      <w:kern w:val="0"/>
      <w:sz w:val="24"/>
    </w:rPr>
  </w:style>
  <w:style w:type="character" w:customStyle="1" w:styleId="11">
    <w:name w:val="正文文本 Char"/>
    <w:basedOn w:val="10"/>
    <w:link w:val="4"/>
    <w:qFormat/>
    <w:uiPriority w:val="99"/>
    <w:rPr>
      <w:rFonts w:ascii="Times New Roman" w:hAnsi="Times New Roman" w:eastAsia="宋体" w:cs="Times New Roman"/>
      <w:szCs w:val="24"/>
    </w:rPr>
  </w:style>
  <w:style w:type="character" w:customStyle="1" w:styleId="12">
    <w:name w:val="正文文本缩进 Char"/>
    <w:basedOn w:val="10"/>
    <w:link w:val="5"/>
    <w:semiHidden/>
    <w:qFormat/>
    <w:uiPriority w:val="99"/>
    <w:rPr>
      <w:rFonts w:ascii="Times New Roman" w:hAnsi="Times New Roman" w:eastAsia="宋体" w:cs="Times New Roman"/>
      <w:szCs w:val="24"/>
    </w:rPr>
  </w:style>
  <w:style w:type="paragraph" w:customStyle="1" w:styleId="13">
    <w:name w:val="样式 标题 3 + (中文) 黑体 小四 非加粗 段前: 7.8 磅 段后: 0 磅 行距: 固定值 20 磅"/>
    <w:basedOn w:val="3"/>
    <w:qFormat/>
    <w:uiPriority w:val="0"/>
    <w:pPr>
      <w:spacing w:before="0" w:after="0" w:line="400" w:lineRule="exact"/>
    </w:pPr>
    <w:rPr>
      <w:rFonts w:eastAsia="黑体" w:cs="宋体"/>
      <w:b w:val="0"/>
      <w:bCs w:val="0"/>
      <w:sz w:val="24"/>
      <w:szCs w:val="20"/>
    </w:rPr>
  </w:style>
  <w:style w:type="character" w:customStyle="1" w:styleId="14">
    <w:name w:val="标题 3 Char"/>
    <w:basedOn w:val="10"/>
    <w:link w:val="3"/>
    <w:semiHidden/>
    <w:qFormat/>
    <w:uiPriority w:val="9"/>
    <w:rPr>
      <w:rFonts w:ascii="Times New Roman" w:hAnsi="Times New Roman" w:eastAsia="宋体" w:cs="Times New Roman"/>
      <w:b/>
      <w:bCs/>
      <w:sz w:val="32"/>
      <w:szCs w:val="32"/>
    </w:rPr>
  </w:style>
  <w:style w:type="paragraph" w:styleId="15">
    <w:name w:val="List Paragraph"/>
    <w:basedOn w:val="1"/>
    <w:qFormat/>
    <w:uiPriority w:val="34"/>
    <w:pPr>
      <w:ind w:firstLine="420"/>
    </w:pPr>
  </w:style>
  <w:style w:type="character" w:customStyle="1" w:styleId="16">
    <w:name w:val="页眉 Char"/>
    <w:basedOn w:val="10"/>
    <w:link w:val="7"/>
    <w:qFormat/>
    <w:uiPriority w:val="99"/>
    <w:rPr>
      <w:rFonts w:ascii="Times New Roman" w:hAnsi="Times New Roman" w:eastAsia="宋体" w:cs="Times New Roman"/>
      <w:sz w:val="18"/>
      <w:szCs w:val="18"/>
    </w:rPr>
  </w:style>
  <w:style w:type="character" w:customStyle="1" w:styleId="17">
    <w:name w:val="页脚 Char"/>
    <w:basedOn w:val="10"/>
    <w:link w:val="6"/>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Organization</Company>
  <Pages>5</Pages>
  <Words>1801</Words>
  <Characters>1903</Characters>
  <Lines>8</Lines>
  <Paragraphs>2</Paragraphs>
  <TotalTime>4</TotalTime>
  <ScaleCrop>false</ScaleCrop>
  <LinksUpToDate>false</LinksUpToDate>
  <CharactersWithSpaces>1918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2022-05-30T06:22:00Z</dcterms:created>
  <dc:creator>吴京珉</dc:creator>
  <cp:lastModifiedBy>lrq</cp:lastModifiedBy>
  <dcterms:modified xsi:type="dcterms:W3CDTF">2022-10-28T06:29:34Z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3E23C7747B1A488DBF158DC1F496026B</vt:lpwstr>
  </property>
</Properties>
</file>