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前提：本章中标注“▲”号的条款为本项目的实质性要求，供应商应全部满足，否则其响应文件作无效响应处理。“★”符号的条款为本项目的重要参数条款，未标识符号的条款为一般参数条款。</w:t>
      </w:r>
    </w:p>
    <w:p>
      <w:pPr>
        <w:widowControl/>
        <w:shd w:val="clear" w:color="auto" w:fill="FFFFFF"/>
        <w:wordWrap w:val="0"/>
        <w:jc w:val="left"/>
        <w:rPr>
          <w:rFonts w:hint="eastAsia" w:ascii="仿宋_GB2312" w:eastAsia="仿宋_GB2312" w:cs="Segoe UI" w:hAnsiTheme="minorEastAsia"/>
          <w:kern w:val="0"/>
          <w:sz w:val="24"/>
          <w:szCs w:val="24"/>
        </w:rPr>
      </w:pPr>
    </w:p>
    <w:p>
      <w:pPr>
        <w:widowControl/>
        <w:shd w:val="clear" w:color="auto" w:fill="FFFFFF"/>
        <w:wordWrap w:val="0"/>
        <w:jc w:val="left"/>
        <w:rPr>
          <w:rFonts w:ascii="仿宋_GB2312" w:eastAsia="仿宋_GB2312" w:hAnsiTheme="minorEastAsia"/>
          <w:b/>
          <w:sz w:val="24"/>
          <w:szCs w:val="24"/>
          <w:u w:val="single"/>
        </w:rPr>
      </w:pPr>
      <w:r>
        <w:rPr>
          <w:rFonts w:hint="eastAsia" w:ascii="仿宋_GB2312" w:eastAsia="仿宋_GB2312" w:cs="Segoe UI" w:hAnsiTheme="minorEastAsia"/>
          <w:kern w:val="0"/>
          <w:sz w:val="24"/>
          <w:szCs w:val="24"/>
          <w:lang w:val="en-US" w:eastAsia="zh-CN"/>
        </w:rPr>
        <w:t>一、</w:t>
      </w:r>
      <w:r>
        <w:rPr>
          <w:rFonts w:hint="eastAsia" w:ascii="仿宋_GB2312" w:eastAsia="仿宋_GB2312" w:cs="Segoe UI" w:hAnsiTheme="minorEastAsia"/>
          <w:kern w:val="0"/>
          <w:sz w:val="24"/>
          <w:szCs w:val="24"/>
        </w:rPr>
        <w:t>产品名称：</w:t>
      </w:r>
      <w:r>
        <w:rPr>
          <w:rFonts w:hint="eastAsia" w:ascii="仿宋_GB2312" w:eastAsia="仿宋_GB2312" w:hAnsiTheme="minorEastAsia"/>
          <w:b/>
          <w:sz w:val="24"/>
          <w:szCs w:val="24"/>
          <w:u w:val="single"/>
        </w:rPr>
        <w:t>脱脂纱布块（纱布球）</w:t>
      </w:r>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lang w:val="en-US" w:eastAsia="zh-CN"/>
        </w:rPr>
        <w:t>二、年度采购</w:t>
      </w:r>
      <w:r>
        <w:rPr>
          <w:rFonts w:hint="eastAsia" w:ascii="仿宋_GB2312" w:eastAsia="仿宋_GB2312" w:cs="Segoe UI" w:hAnsiTheme="minorEastAsia"/>
          <w:kern w:val="0"/>
          <w:sz w:val="24"/>
          <w:szCs w:val="24"/>
        </w:rPr>
        <w:t>预算：1.</w:t>
      </w:r>
      <w:r>
        <w:rPr>
          <w:rFonts w:hint="eastAsia" w:ascii="仿宋_GB2312" w:eastAsia="仿宋_GB2312" w:cs="Segoe UI" w:hAnsiTheme="minorEastAsia"/>
          <w:kern w:val="0"/>
          <w:sz w:val="24"/>
          <w:szCs w:val="24"/>
          <w:lang w:val="en-US" w:eastAsia="zh-CN"/>
        </w:rPr>
        <w:t>3</w:t>
      </w:r>
      <w:r>
        <w:rPr>
          <w:rFonts w:hint="eastAsia" w:ascii="仿宋_GB2312" w:eastAsia="仿宋_GB2312" w:cs="Segoe UI" w:hAnsiTheme="minorEastAsia"/>
          <w:kern w:val="0"/>
          <w:sz w:val="24"/>
          <w:szCs w:val="24"/>
        </w:rPr>
        <w:t>万元</w:t>
      </w:r>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lang w:val="en-US" w:eastAsia="zh-CN"/>
        </w:rPr>
        <w:t>三、</w:t>
      </w:r>
      <w:r>
        <w:rPr>
          <w:rFonts w:hint="eastAsia" w:ascii="仿宋_GB2312" w:eastAsia="仿宋_GB2312" w:cs="Segoe UI" w:hAnsiTheme="minorEastAsia"/>
          <w:kern w:val="0"/>
          <w:sz w:val="24"/>
          <w:szCs w:val="24"/>
        </w:rPr>
        <w:t>技术要求</w:t>
      </w:r>
    </w:p>
    <w:tbl>
      <w:tblPr>
        <w:tblStyle w:val="8"/>
        <w:tblW w:w="8329" w:type="dxa"/>
        <w:tblInd w:w="0" w:type="dxa"/>
        <w:tblLayout w:type="fixed"/>
        <w:tblCellMar>
          <w:top w:w="0" w:type="dxa"/>
          <w:left w:w="0" w:type="dxa"/>
          <w:bottom w:w="0" w:type="dxa"/>
          <w:right w:w="0" w:type="dxa"/>
        </w:tblCellMar>
      </w:tblPr>
      <w:tblGrid>
        <w:gridCol w:w="518"/>
        <w:gridCol w:w="1220"/>
        <w:gridCol w:w="1308"/>
        <w:gridCol w:w="5283"/>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lang w:val="en-US" w:eastAsia="zh-CN"/>
              </w:rPr>
            </w:pPr>
            <w:r>
              <w:rPr>
                <w:rFonts w:hint="eastAsia"/>
                <w:lang w:val="en-US" w:eastAsia="zh-CN"/>
              </w:rPr>
              <w:t>序号</w:t>
            </w:r>
          </w:p>
        </w:tc>
        <w:tc>
          <w:tcPr>
            <w:tcW w:w="122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产品名称</w:t>
            </w:r>
          </w:p>
        </w:tc>
        <w:tc>
          <w:tcPr>
            <w:tcW w:w="1308"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预估年</w:t>
            </w:r>
            <w:r>
              <w:rPr>
                <w:rFonts w:hint="eastAsia"/>
                <w:lang w:val="en-US" w:eastAsia="zh-CN"/>
              </w:rPr>
              <w:t>采购数</w:t>
            </w:r>
            <w:r>
              <w:rPr>
                <w:rFonts w:hint="eastAsia"/>
              </w:rPr>
              <w:t>量</w:t>
            </w:r>
          </w:p>
        </w:tc>
        <w:tc>
          <w:tcPr>
            <w:tcW w:w="52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pPr>
            <w:r>
              <w:rPr>
                <w:rFonts w:hint="eastAsia"/>
              </w:rPr>
              <w:t>技术参数要求</w:t>
            </w:r>
          </w:p>
        </w:tc>
      </w:tr>
      <w:tr>
        <w:tblPrEx>
          <w:tblCellMar>
            <w:top w:w="0" w:type="dxa"/>
            <w:left w:w="0" w:type="dxa"/>
            <w:bottom w:w="0" w:type="dxa"/>
            <w:right w:w="0" w:type="dxa"/>
          </w:tblCellMar>
        </w:tblPrEx>
        <w:trPr>
          <w:trHeight w:val="11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default"/>
                <w:lang w:val="en-US" w:eastAsia="zh-CN"/>
              </w:rPr>
              <w:t>脱脂纱布块（纱布球）</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lang w:val="en-US" w:eastAsia="zh-CN"/>
              </w:rPr>
            </w:pPr>
            <w:r>
              <w:rPr>
                <w:rFonts w:hint="eastAsia"/>
                <w:lang w:val="en-US" w:eastAsia="zh-CN"/>
              </w:rPr>
              <w:t>20000</w:t>
            </w:r>
          </w:p>
        </w:tc>
        <w:tc>
          <w:tcPr>
            <w:tcW w:w="5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rPr>
                <w:rFonts w:hint="eastAsia"/>
                <w:lang w:val="en-US" w:eastAsia="zh-CN"/>
              </w:rPr>
            </w:pPr>
            <w:r>
              <w:rPr>
                <w:rFonts w:hint="eastAsia"/>
                <w:lang w:val="en-US" w:eastAsia="zh-CN"/>
              </w:rPr>
              <w:t>▲</w:t>
            </w:r>
            <w:r>
              <w:rPr>
                <w:rFonts w:hint="eastAsia" w:cstheme="minorBidi"/>
                <w:kern w:val="2"/>
                <w:sz w:val="21"/>
                <w:szCs w:val="22"/>
                <w:lang w:val="en-US" w:eastAsia="zh-CN" w:bidi="ar-SA"/>
              </w:rPr>
              <w:t>1.由医用脱脂纱布折叠加工而成</w:t>
            </w:r>
            <w:r>
              <w:rPr>
                <w:rFonts w:hint="eastAsia"/>
                <w:lang w:val="en-US" w:eastAsia="zh-CN"/>
              </w:rPr>
              <w:t>。</w:t>
            </w:r>
          </w:p>
          <w:p>
            <w:pPr>
              <w:widowControl/>
              <w:numPr>
                <w:ilvl w:val="0"/>
                <w:numId w:val="0"/>
              </w:numPr>
              <w:jc w:val="left"/>
              <w:textAlignment w:val="center"/>
              <w:rPr>
                <w:rFonts w:hint="default"/>
                <w:lang w:val="en-US" w:eastAsia="zh-CN"/>
              </w:rPr>
            </w:pPr>
            <w:r>
              <w:rPr>
                <w:rFonts w:hint="eastAsia"/>
                <w:lang w:val="en-US" w:eastAsia="zh-CN"/>
              </w:rPr>
              <w:t>▲2.脱脂纱布符合YY0331-2006标准的规定。</w:t>
            </w:r>
          </w:p>
          <w:p>
            <w:pPr>
              <w:widowControl/>
              <w:numPr>
                <w:ilvl w:val="0"/>
                <w:numId w:val="0"/>
              </w:numPr>
              <w:jc w:val="left"/>
              <w:textAlignment w:val="center"/>
              <w:rPr>
                <w:rFonts w:hint="default"/>
                <w:lang w:val="en-US" w:eastAsia="zh-CN"/>
              </w:rPr>
            </w:pPr>
            <w:r>
              <w:rPr>
                <w:rFonts w:hint="eastAsia"/>
                <w:lang w:val="en-US" w:eastAsia="zh-CN"/>
              </w:rPr>
              <w:t>▲3.产品折叠平整，无臭无味、无霉斑、无杂质、无污渍、无破洞。</w:t>
            </w:r>
          </w:p>
          <w:p>
            <w:pPr>
              <w:widowControl/>
              <w:numPr>
                <w:ilvl w:val="0"/>
                <w:numId w:val="0"/>
              </w:numPr>
              <w:jc w:val="left"/>
              <w:textAlignment w:val="center"/>
            </w:pPr>
            <w:r>
              <w:rPr>
                <w:rFonts w:hint="eastAsia"/>
                <w:lang w:val="en-US" w:eastAsia="zh-CN"/>
              </w:rPr>
              <w:t>▲4. 产品尺寸3*3cm。</w:t>
            </w:r>
          </w:p>
        </w:tc>
      </w:tr>
    </w:tbl>
    <w:p>
      <w:pPr>
        <w:widowControl/>
        <w:shd w:val="clear" w:color="auto" w:fill="FFFFFF"/>
        <w:wordWrap w:val="0"/>
        <w:jc w:val="left"/>
        <w:rPr>
          <w:rFonts w:hint="eastAsia" w:ascii="仿宋_GB2312" w:eastAsia="仿宋_GB2312" w:cs="Segoe UI" w:hAnsiTheme="minorEastAsia"/>
          <w:kern w:val="0"/>
          <w:sz w:val="24"/>
          <w:szCs w:val="24"/>
        </w:rPr>
      </w:pPr>
    </w:p>
    <w:p>
      <w:pPr>
        <w:widowControl/>
        <w:shd w:val="clear" w:color="auto" w:fill="FFFFFF"/>
        <w:spacing w:line="360" w:lineRule="auto"/>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备注：以上的技术要求为本次招标项目的实质性要求，不允许有负偏离。（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r>
        <w:rPr>
          <w:rFonts w:ascii="仿宋_GB2312" w:hAnsi="Segoe UI" w:eastAsia="仿宋_GB2312" w:cs="Segoe UI"/>
          <w:color w:val="000000" w:themeColor="text1"/>
          <w:spacing w:val="8"/>
          <w:kern w:val="0"/>
          <w:sz w:val="24"/>
          <w:szCs w:val="24"/>
        </w:rPr>
        <w:t>）</w:t>
      </w:r>
    </w:p>
    <w:p>
      <w:pPr>
        <w:widowControl/>
        <w:shd w:val="clear" w:color="auto" w:fill="FFFFFF"/>
        <w:tabs>
          <w:tab w:val="left" w:pos="312"/>
        </w:tabs>
        <w:wordWrap w:val="0"/>
        <w:jc w:val="left"/>
        <w:rPr>
          <w:rFonts w:hint="eastAsia" w:ascii="仿宋_GB2312" w:eastAsia="仿宋_GB2312" w:cs="Segoe UI" w:hAnsiTheme="minorEastAsia"/>
          <w:kern w:val="0"/>
          <w:sz w:val="24"/>
          <w:szCs w:val="24"/>
        </w:rPr>
      </w:pPr>
    </w:p>
    <w:p>
      <w:pPr>
        <w:pStyle w:val="2"/>
        <w:spacing w:after="0" w:line="360" w:lineRule="auto"/>
        <w:ind w:firstLine="275" w:firstLineChars="98"/>
      </w:pPr>
      <w:r>
        <w:rPr>
          <w:rFonts w:hint="eastAsia"/>
          <w:sz w:val="28"/>
          <w:szCs w:val="28"/>
          <w:lang w:val="en-US" w:eastAsia="zh-CN"/>
        </w:rPr>
        <w:t>四、</w:t>
      </w:r>
      <w:r>
        <w:rPr>
          <w:rFonts w:hint="eastAsia"/>
          <w:sz w:val="28"/>
          <w:szCs w:val="28"/>
        </w:rPr>
        <w:t>项目要求</w:t>
      </w:r>
    </w:p>
    <w:p>
      <w:pPr>
        <w:pStyle w:val="3"/>
        <w:ind w:left="283" w:leftChars="135" w:firstLine="0" w:firstLineChars="0"/>
      </w:pPr>
      <w:r>
        <w:rPr>
          <w:rFonts w:hint="eastAsia"/>
        </w:rPr>
        <w:t>（一）本包进口产品</w:t>
      </w:r>
      <w:r>
        <w:rPr>
          <w:rFonts w:hint="eastAsia"/>
          <w:u w:val="single"/>
          <w:lang w:val="en-US" w:eastAsia="zh-CN"/>
        </w:rPr>
        <w:t xml:space="preserve"> </w:t>
      </w:r>
      <w:r>
        <w:rPr>
          <w:rFonts w:hint="eastAsia"/>
          <w:u w:val="single"/>
        </w:rPr>
        <w:t xml:space="preserve">可以 </w:t>
      </w:r>
      <w:r>
        <w:rPr>
          <w:rFonts w:hint="eastAsia"/>
        </w:rPr>
        <w:t>参与竞争。</w:t>
      </w:r>
    </w:p>
    <w:p>
      <w:pPr>
        <w:pStyle w:val="3"/>
        <w:ind w:left="283" w:leftChars="135" w:firstLine="0" w:firstLineChars="0"/>
      </w:pPr>
      <w:r>
        <w:rPr>
          <w:rFonts w:hint="eastAsia"/>
        </w:rPr>
        <w:t>（二）服务要求：</w:t>
      </w:r>
    </w:p>
    <w:p>
      <w:pPr>
        <w:pStyle w:val="3"/>
        <w:spacing w:line="400" w:lineRule="exact"/>
        <w:ind w:firstLine="480"/>
        <w:rPr>
          <w:rFonts w:hint="eastAsia"/>
          <w:lang w:eastAsia="zh-CN"/>
        </w:rPr>
      </w:pPr>
      <w:r>
        <w:rPr>
          <w:rFonts w:hint="eastAsia"/>
        </w:rPr>
        <w:t>▲响应产品挂网要求：响应产品属于国</w:t>
      </w:r>
      <w:bookmarkStart w:id="1" w:name="_GoBack"/>
      <w:bookmarkEnd w:id="1"/>
      <w:r>
        <w:rPr>
          <w:rFonts w:hint="eastAsia"/>
        </w:rPr>
        <w:t>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lang w:eastAsia="zh-CN"/>
        </w:rPr>
        <w:t>（</w:t>
      </w:r>
      <w:r>
        <w:rPr>
          <w:rFonts w:hint="eastAsia"/>
          <w:lang w:val="en-US" w:eastAsia="zh-CN"/>
        </w:rPr>
        <w:t>已经挂网的需要提供集采平台挂网截图</w:t>
      </w:r>
      <w:r>
        <w:rPr>
          <w:rFonts w:hint="eastAsia"/>
          <w:lang w:eastAsia="zh-CN"/>
        </w:rPr>
        <w:t>）</w:t>
      </w:r>
    </w:p>
    <w:p>
      <w:pPr>
        <w:pStyle w:val="3"/>
        <w:spacing w:line="400" w:lineRule="exact"/>
        <w:ind w:firstLine="480"/>
      </w:pPr>
      <w:r>
        <w:rPr>
          <w:rFonts w:hint="eastAsia"/>
        </w:rPr>
        <w:t>（三）商务要求：</w:t>
      </w:r>
    </w:p>
    <w:p>
      <w:pPr>
        <w:pStyle w:val="3"/>
        <w:spacing w:line="400" w:lineRule="exact"/>
        <w:ind w:firstLine="480"/>
      </w:pPr>
      <w:r>
        <w:rPr>
          <w:rFonts w:hint="eastAsia"/>
        </w:rPr>
        <w:t>▲1.付款方法和条件：</w:t>
      </w:r>
    </w:p>
    <w:p>
      <w:pPr>
        <w:pStyle w:val="3"/>
        <w:spacing w:line="400" w:lineRule="exact"/>
        <w:ind w:firstLine="480"/>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pPr>
      <w:r>
        <w:rPr>
          <w:rFonts w:hint="eastAsia"/>
        </w:rPr>
        <w:t>方式二：供应商为大型企业（方式一中规定的中小企业以外的企业），供应商出具合法有效完整的完税发票及凭证资料后，采购人6个月后支付货款。</w:t>
      </w:r>
    </w:p>
    <w:p>
      <w:pPr>
        <w:pStyle w:val="3"/>
        <w:spacing w:line="400" w:lineRule="exact"/>
        <w:ind w:firstLine="480"/>
      </w:pPr>
      <w:r>
        <w:rPr>
          <w:rFonts w:hint="eastAsia"/>
        </w:rPr>
        <w:t>（2）因供应商供货质量不合格或不符合采购人要求的，采购人有权拒绝付款。</w:t>
      </w:r>
    </w:p>
    <w:p>
      <w:pPr>
        <w:pStyle w:val="3"/>
        <w:spacing w:line="400" w:lineRule="exact"/>
        <w:ind w:firstLine="480"/>
      </w:pPr>
      <w:r>
        <w:rPr>
          <w:rFonts w:hint="eastAsia"/>
        </w:rPr>
        <w:t>▲2.供货期限：3年，采购数量以实际使用量为准。</w:t>
      </w:r>
    </w:p>
    <w:p>
      <w:pPr>
        <w:pStyle w:val="3"/>
        <w:spacing w:line="400" w:lineRule="exact"/>
        <w:ind w:firstLine="480"/>
      </w:pPr>
      <w:r>
        <w:rPr>
          <w:rFonts w:hint="eastAsia"/>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pPr>
      <w:r>
        <w:rPr>
          <w:rFonts w:hint="eastAsia"/>
        </w:rPr>
        <w:t>▲5.质量保证：</w:t>
      </w:r>
    </w:p>
    <w:p>
      <w:pPr>
        <w:pStyle w:val="3"/>
        <w:spacing w:line="400" w:lineRule="exact"/>
        <w:ind w:firstLine="480"/>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rPr>
          <w:rFonts w:ascii="仿宋_GB2312" w:eastAsia="仿宋_GB2312" w:cs="Segoe UI" w:hAnsiTheme="minorEastAsia"/>
          <w:kern w:val="0"/>
          <w:sz w:val="24"/>
          <w:szCs w:val="24"/>
        </w:rPr>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jc w:val="left"/>
        <w:rPr>
          <w:rFonts w:ascii="仿宋_GB2312" w:eastAsia="仿宋_GB2312" w:cs="Segoe UI" w:hAnsiTheme="minorEastAsia"/>
          <w:kern w:val="0"/>
          <w:sz w:val="24"/>
          <w:szCs w:val="24"/>
        </w:rPr>
      </w:pPr>
    </w:p>
    <w:p>
      <w:pPr>
        <w:widowControl/>
        <w:jc w:val="left"/>
        <w:rPr>
          <w:rFonts w:ascii="仿宋_GB2312" w:eastAsia="仿宋_GB2312" w:cs="Segoe UI" w:hAnsiTheme="minorEastAsia"/>
          <w:kern w:val="0"/>
          <w:sz w:val="24"/>
          <w:szCs w:val="24"/>
        </w:rPr>
      </w:pP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jc w:val="center"/>
        <w:rPr>
          <w:rFonts w:ascii="黑体" w:hAnsi="黑体" w:eastAsia="黑体" w:cs="Segoe UI"/>
          <w:color w:val="333333"/>
          <w:kern w:val="0"/>
          <w:sz w:val="32"/>
          <w:szCs w:val="32"/>
        </w:rPr>
      </w:pPr>
      <w:r>
        <w:rPr>
          <w:rFonts w:hint="eastAsia" w:ascii="黑体" w:hAnsi="黑体" w:eastAsia="黑体" w:cs="Segoe UI"/>
          <w:color w:val="333333"/>
          <w:kern w:val="0"/>
          <w:sz w:val="32"/>
          <w:szCs w:val="32"/>
        </w:rPr>
        <w:t>主要表格格式</w:t>
      </w:r>
    </w:p>
    <w:tbl>
      <w:tblPr>
        <w:tblStyle w:val="8"/>
        <w:tblpPr w:leftFromText="180" w:rightFromText="180" w:vertAnchor="text" w:horzAnchor="page" w:tblpXSpec="center" w:tblpY="624"/>
        <w:tblOverlap w:val="never"/>
        <w:tblW w:w="9626" w:type="dxa"/>
        <w:jc w:val="center"/>
        <w:shd w:val="clear" w:color="auto" w:fill="FFFFFF"/>
        <w:tblLayout w:type="fixed"/>
        <w:tblCellMar>
          <w:top w:w="0" w:type="dxa"/>
          <w:left w:w="0" w:type="dxa"/>
          <w:bottom w:w="0" w:type="dxa"/>
          <w:right w:w="0" w:type="dxa"/>
        </w:tblCellMar>
      </w:tblPr>
      <w:tblGrid>
        <w:gridCol w:w="690"/>
        <w:gridCol w:w="1200"/>
        <w:gridCol w:w="900"/>
        <w:gridCol w:w="750"/>
        <w:gridCol w:w="765"/>
        <w:gridCol w:w="720"/>
        <w:gridCol w:w="1256"/>
        <w:gridCol w:w="826"/>
        <w:gridCol w:w="1727"/>
        <w:gridCol w:w="792"/>
      </w:tblGrid>
      <w:tr>
        <w:tblPrEx>
          <w:shd w:val="clear" w:color="auto" w:fill="FFFFFF"/>
          <w:tblCellMar>
            <w:top w:w="0" w:type="dxa"/>
            <w:left w:w="0" w:type="dxa"/>
            <w:bottom w:w="0" w:type="dxa"/>
            <w:right w:w="0" w:type="dxa"/>
          </w:tblCellMar>
        </w:tblPrEx>
        <w:trPr>
          <w:trHeight w:val="2433"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序号</w:t>
            </w:r>
          </w:p>
        </w:tc>
        <w:tc>
          <w:tcPr>
            <w:tcW w:w="12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产品名称</w:t>
            </w:r>
          </w:p>
        </w:tc>
        <w:tc>
          <w:tcPr>
            <w:tcW w:w="9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品牌</w:t>
            </w:r>
          </w:p>
        </w:tc>
        <w:tc>
          <w:tcPr>
            <w:tcW w:w="7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7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单位</w:t>
            </w:r>
          </w:p>
        </w:tc>
        <w:tc>
          <w:tcPr>
            <w:tcW w:w="12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预估年</w:t>
            </w:r>
            <w:r>
              <w:rPr>
                <w:rFonts w:hint="eastAsia" w:ascii="仿宋_GB2312" w:hAnsi="Segoe UI" w:eastAsia="仿宋_GB2312" w:cs="Segoe UI"/>
                <w:color w:val="333333"/>
                <w:kern w:val="0"/>
                <w:sz w:val="24"/>
                <w:szCs w:val="24"/>
                <w:lang w:val="en-US" w:eastAsia="zh-CN"/>
              </w:rPr>
              <w:t>使</w:t>
            </w:r>
            <w:r>
              <w:rPr>
                <w:rFonts w:hint="eastAsia" w:ascii="仿宋_GB2312" w:hAnsi="Segoe UI" w:eastAsia="仿宋_GB2312" w:cs="Segoe UI"/>
                <w:color w:val="333333"/>
                <w:kern w:val="0"/>
                <w:sz w:val="24"/>
                <w:szCs w:val="24"/>
              </w:rPr>
              <w:t>用量</w:t>
            </w:r>
          </w:p>
        </w:tc>
        <w:tc>
          <w:tcPr>
            <w:tcW w:w="17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成交总价（元）（单价*预估年</w:t>
            </w:r>
            <w:r>
              <w:rPr>
                <w:rFonts w:hint="eastAsia" w:ascii="仿宋_GB2312" w:hAnsi="Segoe UI" w:eastAsia="仿宋_GB2312" w:cs="Segoe UI"/>
                <w:color w:val="333333"/>
                <w:kern w:val="0"/>
                <w:sz w:val="24"/>
                <w:szCs w:val="24"/>
                <w:lang w:val="en-US" w:eastAsia="zh-CN"/>
              </w:rPr>
              <w:t>使</w:t>
            </w:r>
            <w:r>
              <w:rPr>
                <w:rFonts w:hint="eastAsia" w:ascii="仿宋_GB2312" w:hAnsi="Segoe UI" w:eastAsia="仿宋_GB2312" w:cs="Segoe UI"/>
                <w:color w:val="333333"/>
                <w:kern w:val="0"/>
                <w:sz w:val="24"/>
                <w:szCs w:val="24"/>
              </w:rPr>
              <w:t>用量）</w:t>
            </w:r>
          </w:p>
        </w:tc>
        <w:tc>
          <w:tcPr>
            <w:tcW w:w="7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备注</w:t>
            </w:r>
          </w:p>
        </w:tc>
      </w:tr>
      <w:tr>
        <w:tblPrEx>
          <w:shd w:val="clear" w:color="auto" w:fill="FFFFFF"/>
          <w:tblCellMar>
            <w:top w:w="0" w:type="dxa"/>
            <w:left w:w="0" w:type="dxa"/>
            <w:bottom w:w="0" w:type="dxa"/>
            <w:right w:w="0" w:type="dxa"/>
          </w:tblCellMar>
        </w:tblPrEx>
        <w:trPr>
          <w:trHeight w:val="366" w:hRule="atLeast"/>
          <w:jc w:val="center"/>
        </w:trPr>
        <w:tc>
          <w:tcPr>
            <w:tcW w:w="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7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425" w:hRule="atLeast"/>
          <w:jc w:val="center"/>
        </w:trPr>
        <w:tc>
          <w:tcPr>
            <w:tcW w:w="69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5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2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72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87"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5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2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72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87" w:hRule="atLeast"/>
          <w:jc w:val="center"/>
        </w:trPr>
        <w:tc>
          <w:tcPr>
            <w:tcW w:w="9626"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right"/>
              <w:rPr>
                <w:rFonts w:hint="default" w:ascii="宋体" w:hAnsi="宋体" w:eastAsia="宋体" w:cs="Segoe UI"/>
                <w:color w:val="333333"/>
                <w:kern w:val="0"/>
                <w:sz w:val="24"/>
                <w:szCs w:val="24"/>
                <w:lang w:val="en-US" w:eastAsia="zh-CN"/>
              </w:rPr>
            </w:pPr>
            <w:r>
              <w:rPr>
                <w:rFonts w:hint="eastAsia" w:ascii="宋体" w:hAnsi="宋体" w:eastAsia="宋体" w:cs="Segoe UI"/>
                <w:color w:val="333333"/>
                <w:kern w:val="0"/>
                <w:sz w:val="24"/>
                <w:szCs w:val="24"/>
                <w:lang w:val="en-US" w:eastAsia="zh-CN"/>
              </w:rPr>
              <w:t>报价总价：</w:t>
            </w:r>
            <w:r>
              <w:rPr>
                <w:rFonts w:hint="eastAsia" w:ascii="宋体" w:hAnsi="宋体" w:eastAsia="宋体" w:cs="Segoe UI"/>
                <w:color w:val="333333"/>
                <w:kern w:val="0"/>
                <w:sz w:val="24"/>
                <w:szCs w:val="24"/>
                <w:u w:val="single"/>
                <w:lang w:val="en-US" w:eastAsia="zh-CN"/>
              </w:rPr>
              <w:t xml:space="preserve">      元（大写：          ）</w:t>
            </w:r>
            <w:r>
              <w:rPr>
                <w:rFonts w:hint="eastAsia" w:ascii="宋体" w:hAnsi="宋体" w:eastAsia="宋体" w:cs="Segoe UI"/>
                <w:color w:val="333333"/>
                <w:kern w:val="0"/>
                <w:sz w:val="24"/>
                <w:szCs w:val="24"/>
                <w:lang w:val="en-US" w:eastAsia="zh-CN"/>
              </w:rPr>
              <w:t>（</w:t>
            </w:r>
            <w:r>
              <w:rPr>
                <w:rFonts w:hint="eastAsia" w:ascii="仿宋_GB2312" w:hAnsi="Segoe UI" w:eastAsia="仿宋_GB2312" w:cs="Segoe UI"/>
                <w:color w:val="000000" w:themeColor="text1"/>
                <w:spacing w:val="8"/>
                <w:kern w:val="0"/>
                <w:sz w:val="24"/>
                <w:szCs w:val="24"/>
              </w:rPr>
              <w:t>根据预</w:t>
            </w:r>
            <w:r>
              <w:rPr>
                <w:rFonts w:hint="eastAsia" w:ascii="仿宋_GB2312" w:hAnsi="Segoe UI" w:eastAsia="仿宋_GB2312" w:cs="Segoe UI"/>
                <w:color w:val="000000" w:themeColor="text1"/>
                <w:spacing w:val="8"/>
                <w:kern w:val="0"/>
                <w:sz w:val="24"/>
                <w:szCs w:val="24"/>
                <w:lang w:val="en-US" w:eastAsia="zh-CN"/>
              </w:rPr>
              <w:t>估</w:t>
            </w:r>
            <w:r>
              <w:rPr>
                <w:rFonts w:hint="eastAsia" w:ascii="仿宋_GB2312" w:hAnsi="Segoe UI" w:eastAsia="仿宋_GB2312" w:cs="Segoe UI"/>
                <w:color w:val="000000" w:themeColor="text1"/>
                <w:spacing w:val="8"/>
                <w:kern w:val="0"/>
                <w:sz w:val="24"/>
                <w:szCs w:val="24"/>
              </w:rPr>
              <w:t>年</w:t>
            </w:r>
            <w:r>
              <w:rPr>
                <w:rFonts w:hint="eastAsia" w:ascii="仿宋_GB2312" w:hAnsi="Segoe UI" w:eastAsia="仿宋_GB2312" w:cs="Segoe UI"/>
                <w:color w:val="000000" w:themeColor="text1"/>
                <w:spacing w:val="8"/>
                <w:kern w:val="0"/>
                <w:sz w:val="24"/>
                <w:szCs w:val="24"/>
                <w:lang w:val="en-US" w:eastAsia="zh-CN"/>
              </w:rPr>
              <w:t>使用</w:t>
            </w:r>
            <w:r>
              <w:rPr>
                <w:rFonts w:hint="eastAsia" w:ascii="仿宋_GB2312" w:hAnsi="Segoe UI" w:eastAsia="仿宋_GB2312" w:cs="Segoe UI"/>
                <w:color w:val="000000" w:themeColor="text1"/>
                <w:spacing w:val="8"/>
                <w:kern w:val="0"/>
                <w:sz w:val="24"/>
                <w:szCs w:val="24"/>
              </w:rPr>
              <w:t>量计算</w:t>
            </w:r>
            <w:r>
              <w:rPr>
                <w:rFonts w:hint="eastAsia" w:ascii="宋体" w:hAnsi="宋体" w:eastAsia="宋体" w:cs="Segoe UI"/>
                <w:color w:val="333333"/>
                <w:kern w:val="0"/>
                <w:sz w:val="24"/>
                <w:szCs w:val="24"/>
                <w:lang w:val="en-US" w:eastAsia="zh-CN"/>
              </w:rPr>
              <w:t>）</w:t>
            </w:r>
          </w:p>
        </w:tc>
      </w:tr>
    </w:tbl>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配置及偏离表</w:t>
      </w:r>
    </w:p>
    <w:tbl>
      <w:tblPr>
        <w:tblStyle w:val="8"/>
        <w:tblW w:w="0" w:type="auto"/>
        <w:jc w:val="center"/>
        <w:tblLayout w:type="autofit"/>
        <w:tblCellMar>
          <w:top w:w="0" w:type="dxa"/>
          <w:left w:w="0" w:type="dxa"/>
          <w:bottom w:w="0" w:type="dxa"/>
          <w:right w:w="0" w:type="dxa"/>
        </w:tblCellMar>
      </w:tblPr>
      <w:tblGrid>
        <w:gridCol w:w="1055"/>
        <w:gridCol w:w="2299"/>
        <w:gridCol w:w="2299"/>
        <w:gridCol w:w="2869"/>
      </w:tblGrid>
      <w:tr>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1、此表要求投标文件与招标文件要求一一对应、逐一列出；</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8"/>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说明：</w:t>
      </w:r>
    </w:p>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1、表中产品为近三年销售，用户仍在使用的货物；</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2、只填写本次投标产品型号或与本次投标产品相当的型号。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left="720" w:hanging="720"/>
        <w:jc w:val="center"/>
        <w:rPr>
          <w:rFonts w:ascii="Segoe UI" w:hAnsi="Segoe UI" w:eastAsia="宋体" w:cs="Segoe UI"/>
          <w:color w:val="333333"/>
          <w:kern w:val="0"/>
          <w:sz w:val="18"/>
          <w:szCs w:val="18"/>
        </w:rPr>
      </w:pPr>
      <w:bookmarkStart w:id="0" w:name="_Toc95295163"/>
      <w:r>
        <w:rPr>
          <w:rFonts w:hint="eastAsia" w:ascii="黑体" w:hAnsi="黑体" w:eastAsia="黑体" w:cs="Segoe UI"/>
          <w:b/>
          <w:bCs/>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　　　　　委托代理人（承诺人）</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5</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4"/>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8"/>
          <w:szCs w:val="28"/>
        </w:rPr>
      </w:pPr>
      <w:r>
        <w:rPr>
          <w:rFonts w:hint="eastAsia" w:ascii="仿宋_GB2312" w:hAnsi="仿宋_GB2312" w:eastAsia="仿宋_GB2312" w:cs="仿宋_GB2312"/>
          <w:sz w:val="28"/>
          <w:szCs w:val="28"/>
          <w:lang w:val="en-US" w:eastAsia="zh-CN"/>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76FFC"/>
    <w:rsid w:val="00080C40"/>
    <w:rsid w:val="00103907"/>
    <w:rsid w:val="00121D6F"/>
    <w:rsid w:val="001371D2"/>
    <w:rsid w:val="001931F2"/>
    <w:rsid w:val="00277086"/>
    <w:rsid w:val="002A38D8"/>
    <w:rsid w:val="002F0FB6"/>
    <w:rsid w:val="003323CD"/>
    <w:rsid w:val="0035116A"/>
    <w:rsid w:val="003F1242"/>
    <w:rsid w:val="004B734D"/>
    <w:rsid w:val="00504EE6"/>
    <w:rsid w:val="00517D8E"/>
    <w:rsid w:val="0067270F"/>
    <w:rsid w:val="006B0729"/>
    <w:rsid w:val="006C2B1B"/>
    <w:rsid w:val="00742E26"/>
    <w:rsid w:val="007477D8"/>
    <w:rsid w:val="007A3784"/>
    <w:rsid w:val="00821CEE"/>
    <w:rsid w:val="008E6C7C"/>
    <w:rsid w:val="00907B71"/>
    <w:rsid w:val="00991324"/>
    <w:rsid w:val="009B3CC5"/>
    <w:rsid w:val="00A3343D"/>
    <w:rsid w:val="00A41870"/>
    <w:rsid w:val="00AE739F"/>
    <w:rsid w:val="00AF16AE"/>
    <w:rsid w:val="00D03D08"/>
    <w:rsid w:val="00D11E4C"/>
    <w:rsid w:val="00D169F3"/>
    <w:rsid w:val="00D25A50"/>
    <w:rsid w:val="00D51242"/>
    <w:rsid w:val="00D52A20"/>
    <w:rsid w:val="00D946F0"/>
    <w:rsid w:val="00EB43BD"/>
    <w:rsid w:val="00EF14ED"/>
    <w:rsid w:val="00F27A92"/>
    <w:rsid w:val="00F81DDA"/>
    <w:rsid w:val="00F95593"/>
    <w:rsid w:val="0297033A"/>
    <w:rsid w:val="0BF25649"/>
    <w:rsid w:val="0C735125"/>
    <w:rsid w:val="0CDF66A4"/>
    <w:rsid w:val="102B2CF2"/>
    <w:rsid w:val="126E5199"/>
    <w:rsid w:val="15036C04"/>
    <w:rsid w:val="17412D70"/>
    <w:rsid w:val="198155EA"/>
    <w:rsid w:val="1A9D0782"/>
    <w:rsid w:val="1ADB6CC8"/>
    <w:rsid w:val="1C961347"/>
    <w:rsid w:val="2066403F"/>
    <w:rsid w:val="222708D7"/>
    <w:rsid w:val="29526518"/>
    <w:rsid w:val="2EA40308"/>
    <w:rsid w:val="32546A03"/>
    <w:rsid w:val="32D7512C"/>
    <w:rsid w:val="34A41E6D"/>
    <w:rsid w:val="35035D24"/>
    <w:rsid w:val="35DB1070"/>
    <w:rsid w:val="37C75CEF"/>
    <w:rsid w:val="3AB8044E"/>
    <w:rsid w:val="3B9D0500"/>
    <w:rsid w:val="3DC26BB4"/>
    <w:rsid w:val="426F5F12"/>
    <w:rsid w:val="49481025"/>
    <w:rsid w:val="4C9401E6"/>
    <w:rsid w:val="5A7E218A"/>
    <w:rsid w:val="5ADD58D7"/>
    <w:rsid w:val="609D5114"/>
    <w:rsid w:val="618202CB"/>
    <w:rsid w:val="6347479A"/>
    <w:rsid w:val="64A73ECF"/>
    <w:rsid w:val="65E20988"/>
    <w:rsid w:val="67255631"/>
    <w:rsid w:val="689263B0"/>
    <w:rsid w:val="6CCC3C3D"/>
    <w:rsid w:val="708A4DCD"/>
    <w:rsid w:val="71C02113"/>
    <w:rsid w:val="72747E39"/>
    <w:rsid w:val="731D678C"/>
    <w:rsid w:val="75624D3C"/>
    <w:rsid w:val="78645C08"/>
    <w:rsid w:val="7E5C1A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Body Text"/>
    <w:basedOn w:val="1"/>
    <w:next w:val="1"/>
    <w:unhideWhenUsed/>
    <w:qFormat/>
    <w:uiPriority w:val="99"/>
    <w:pPr>
      <w:spacing w:after="12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505</Words>
  <Characters>2885</Characters>
  <Lines>24</Lines>
  <Paragraphs>6</Paragraphs>
  <TotalTime>1</TotalTime>
  <ScaleCrop>false</ScaleCrop>
  <LinksUpToDate>false</LinksUpToDate>
  <CharactersWithSpaces>3384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Administrator</cp:lastModifiedBy>
  <dcterms:modified xsi:type="dcterms:W3CDTF">2022-10-31T03:25:51Z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