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前提：本章中标注“▲”号的条款为本项目的实质性要求，供应商应全部满足，否则其响应文件作无效响应处理。“★”符号的条款为本项目的重要参数条款，未标识符号的条款为一般参数条款。</w:t>
      </w:r>
    </w:p>
    <w:p>
      <w:pPr>
        <w:widowControl/>
        <w:shd w:val="clear" w:color="auto" w:fill="FFFFFF"/>
        <w:wordWrap w:val="0"/>
        <w:jc w:val="left"/>
        <w:rPr>
          <w:rFonts w:hint="eastAsia" w:ascii="仿宋_GB2312" w:eastAsia="仿宋_GB2312" w:cs="Segoe UI" w:hAnsiTheme="minorEastAsia"/>
          <w:kern w:val="0"/>
          <w:sz w:val="24"/>
          <w:szCs w:val="24"/>
        </w:rPr>
      </w:pPr>
    </w:p>
    <w:p>
      <w:pPr>
        <w:widowControl/>
        <w:shd w:val="clear" w:color="auto" w:fill="FFFFFF"/>
        <w:wordWrap w:val="0"/>
        <w:jc w:val="left"/>
        <w:rPr>
          <w:rFonts w:ascii="仿宋_GB2312" w:eastAsia="仿宋_GB2312" w:hAnsiTheme="minorEastAsia"/>
          <w:b/>
          <w:sz w:val="24"/>
          <w:szCs w:val="24"/>
          <w:u w:val="single"/>
        </w:rPr>
      </w:pPr>
      <w:r>
        <w:rPr>
          <w:rFonts w:hint="eastAsia" w:ascii="仿宋_GB2312" w:eastAsia="仿宋_GB2312" w:cs="Segoe UI" w:hAnsiTheme="minorEastAsia"/>
          <w:kern w:val="0"/>
          <w:sz w:val="24"/>
          <w:szCs w:val="24"/>
          <w:lang w:val="en-US" w:eastAsia="zh-CN"/>
        </w:rPr>
        <w:t>一、</w:t>
      </w:r>
      <w:r>
        <w:rPr>
          <w:rFonts w:hint="eastAsia" w:ascii="仿宋_GB2312" w:eastAsia="仿宋_GB2312" w:cs="Segoe UI" w:hAnsiTheme="minorEastAsia"/>
          <w:kern w:val="0"/>
          <w:sz w:val="24"/>
          <w:szCs w:val="24"/>
        </w:rPr>
        <w:t>产品名称：</w:t>
      </w:r>
      <w:r>
        <w:rPr>
          <w:rFonts w:hint="eastAsia" w:ascii="仿宋_GB2312" w:eastAsia="仿宋_GB2312" w:hAnsiTheme="minorEastAsia"/>
          <w:b/>
          <w:sz w:val="24"/>
          <w:szCs w:val="24"/>
          <w:u w:val="single"/>
        </w:rPr>
        <w:t>脱脂纱布块（纱布球）</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二、年度采购</w:t>
      </w:r>
      <w:r>
        <w:rPr>
          <w:rFonts w:hint="eastAsia" w:ascii="仿宋_GB2312" w:eastAsia="仿宋_GB2312" w:cs="Segoe UI" w:hAnsiTheme="minorEastAsia"/>
          <w:kern w:val="0"/>
          <w:sz w:val="24"/>
          <w:szCs w:val="24"/>
        </w:rPr>
        <w:t>预算：1.</w:t>
      </w:r>
      <w:r>
        <w:rPr>
          <w:rFonts w:hint="eastAsia" w:ascii="仿宋_GB2312" w:eastAsia="仿宋_GB2312" w:cs="Segoe UI" w:hAnsiTheme="minorEastAsia"/>
          <w:kern w:val="0"/>
          <w:sz w:val="24"/>
          <w:szCs w:val="24"/>
          <w:lang w:val="en-US" w:eastAsia="zh-CN"/>
        </w:rPr>
        <w:t>3</w:t>
      </w:r>
      <w:r>
        <w:rPr>
          <w:rFonts w:hint="eastAsia" w:ascii="仿宋_GB2312" w:eastAsia="仿宋_GB2312" w:cs="Segoe UI" w:hAnsiTheme="minorEastAsia"/>
          <w:kern w:val="0"/>
          <w:sz w:val="24"/>
          <w:szCs w:val="24"/>
        </w:rPr>
        <w:t>万元</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三、</w:t>
      </w:r>
      <w:r>
        <w:rPr>
          <w:rFonts w:hint="eastAsia" w:ascii="仿宋_GB2312" w:eastAsia="仿宋_GB2312" w:cs="Segoe UI" w:hAnsiTheme="minorEastAsia"/>
          <w:kern w:val="0"/>
          <w:sz w:val="24"/>
          <w:szCs w:val="24"/>
        </w:rPr>
        <w:t>技术要求</w:t>
      </w:r>
    </w:p>
    <w:tbl>
      <w:tblPr>
        <w:tblStyle w:val="8"/>
        <w:tblW w:w="8329" w:type="dxa"/>
        <w:tblInd w:w="0" w:type="dxa"/>
        <w:tblLayout w:type="fixed"/>
        <w:tblCellMar>
          <w:top w:w="0" w:type="dxa"/>
          <w:left w:w="0" w:type="dxa"/>
          <w:bottom w:w="0" w:type="dxa"/>
          <w:right w:w="0" w:type="dxa"/>
        </w:tblCellMar>
      </w:tblPr>
      <w:tblGrid>
        <w:gridCol w:w="518"/>
        <w:gridCol w:w="1220"/>
        <w:gridCol w:w="1308"/>
        <w:gridCol w:w="5283"/>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122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130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52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11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脱脂纱布块（纱布球）</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lang w:val="en-US" w:eastAsia="zh-CN"/>
              </w:rPr>
            </w:pPr>
            <w:r>
              <w:rPr>
                <w:rFonts w:hint="eastAsia"/>
                <w:lang w:val="en-US" w:eastAsia="zh-CN"/>
              </w:rPr>
              <w:t>20000</w:t>
            </w:r>
          </w:p>
        </w:tc>
        <w:tc>
          <w:tcPr>
            <w:tcW w:w="5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lang w:val="en-US" w:eastAsia="zh-CN"/>
              </w:rPr>
              <w:t>▲</w:t>
            </w:r>
            <w:r>
              <w:rPr>
                <w:rFonts w:hint="eastAsia" w:cstheme="minorBidi"/>
                <w:kern w:val="2"/>
                <w:sz w:val="21"/>
                <w:szCs w:val="22"/>
                <w:lang w:val="en-US" w:eastAsia="zh-CN" w:bidi="ar-SA"/>
              </w:rPr>
              <w:t>1.由医用脱脂纱布折叠加工而成</w:t>
            </w:r>
            <w:r>
              <w:rPr>
                <w:rFonts w:hint="eastAsia"/>
                <w:lang w:val="en-US" w:eastAsia="zh-CN"/>
              </w:rPr>
              <w:t>。</w:t>
            </w:r>
          </w:p>
          <w:p>
            <w:pPr>
              <w:widowControl/>
              <w:numPr>
                <w:ilvl w:val="0"/>
                <w:numId w:val="0"/>
              </w:numPr>
              <w:jc w:val="left"/>
              <w:textAlignment w:val="center"/>
              <w:rPr>
                <w:rFonts w:hint="default"/>
                <w:lang w:val="en-US" w:eastAsia="zh-CN"/>
              </w:rPr>
            </w:pPr>
            <w:r>
              <w:rPr>
                <w:rFonts w:hint="eastAsia"/>
                <w:lang w:val="en-US" w:eastAsia="zh-CN"/>
              </w:rPr>
              <w:t>▲2.脱脂纱布符合YY0331-2006标准的规定。</w:t>
            </w:r>
          </w:p>
          <w:p>
            <w:pPr>
              <w:widowControl/>
              <w:numPr>
                <w:ilvl w:val="0"/>
                <w:numId w:val="0"/>
              </w:numPr>
              <w:jc w:val="left"/>
              <w:textAlignment w:val="center"/>
              <w:rPr>
                <w:rFonts w:hint="default"/>
                <w:lang w:val="en-US" w:eastAsia="zh-CN"/>
              </w:rPr>
            </w:pPr>
            <w:r>
              <w:rPr>
                <w:rFonts w:hint="eastAsia"/>
                <w:lang w:val="en-US" w:eastAsia="zh-CN"/>
              </w:rPr>
              <w:t>▲3.产品折叠平整，无臭无味、无霉斑、无杂质、无污渍、无破洞。</w:t>
            </w:r>
          </w:p>
          <w:p>
            <w:pPr>
              <w:widowControl/>
              <w:numPr>
                <w:ilvl w:val="0"/>
                <w:numId w:val="0"/>
              </w:numPr>
              <w:jc w:val="left"/>
              <w:textAlignment w:val="center"/>
            </w:pPr>
            <w:r>
              <w:rPr>
                <w:rFonts w:hint="eastAsia"/>
                <w:lang w:val="en-US" w:eastAsia="zh-CN"/>
              </w:rPr>
              <w:t>▲4. 产品尺寸3*3cm。</w:t>
            </w:r>
          </w:p>
        </w:tc>
      </w:tr>
    </w:tbl>
    <w:p>
      <w:pPr>
        <w:widowControl/>
        <w:shd w:val="clear" w:color="auto" w:fill="FFFFFF"/>
        <w:wordWrap w:val="0"/>
        <w:jc w:val="left"/>
        <w:rPr>
          <w:rFonts w:hint="eastAsia" w:ascii="仿宋_GB2312" w:eastAsia="仿宋_GB2312" w:cs="Segoe UI" w:hAnsiTheme="minorEastAsia"/>
          <w:kern w:val="0"/>
          <w:sz w:val="24"/>
          <w:szCs w:val="24"/>
        </w:rPr>
      </w:pPr>
    </w:p>
    <w:p>
      <w:pPr>
        <w:widowControl/>
        <w:shd w:val="clear" w:color="auto" w:fill="FFFFFF"/>
        <w:spacing w:line="360" w:lineRule="auto"/>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备注：以上的技术要求为本次招标项目的实质性要求，不允许有负偏离。（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r>
        <w:rPr>
          <w:rFonts w:ascii="仿宋_GB2312" w:hAnsi="Segoe UI" w:eastAsia="仿宋_GB2312" w:cs="Segoe UI"/>
          <w:color w:val="000000" w:themeColor="text1"/>
          <w:spacing w:val="8"/>
          <w:kern w:val="0"/>
          <w:sz w:val="24"/>
          <w:szCs w:val="24"/>
        </w:rPr>
        <w:t>）</w:t>
      </w:r>
    </w:p>
    <w:p>
      <w:pPr>
        <w:widowControl/>
        <w:shd w:val="clear" w:color="auto" w:fill="FFFFFF"/>
        <w:tabs>
          <w:tab w:val="left" w:pos="312"/>
        </w:tabs>
        <w:wordWrap w:val="0"/>
        <w:jc w:val="left"/>
        <w:rPr>
          <w:rFonts w:hint="eastAsia" w:ascii="仿宋_GB2312" w:eastAsia="仿宋_GB2312" w:cs="Segoe UI" w:hAnsiTheme="minorEastAsia"/>
          <w:kern w:val="0"/>
          <w:sz w:val="24"/>
          <w:szCs w:val="24"/>
        </w:rPr>
      </w:pPr>
    </w:p>
    <w:p>
      <w:pPr>
        <w:pStyle w:val="2"/>
        <w:spacing w:after="0" w:line="360" w:lineRule="auto"/>
        <w:ind w:firstLine="275" w:firstLineChars="98"/>
      </w:pPr>
      <w:r>
        <w:rPr>
          <w:rFonts w:hint="eastAsia"/>
          <w:sz w:val="28"/>
          <w:szCs w:val="28"/>
          <w:lang w:val="en-US" w:eastAsia="zh-CN"/>
        </w:rPr>
        <w:t>四、</w:t>
      </w:r>
      <w:r>
        <w:rPr>
          <w:rFonts w:hint="eastAsia"/>
          <w:sz w:val="28"/>
          <w:szCs w:val="28"/>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b/>
          <w:bCs/>
          <w:color w:val="FF0000"/>
          <w:u w:val="single"/>
          <w:lang w:eastAsia="zh-CN"/>
        </w:rPr>
      </w:pPr>
      <w:r>
        <w:rPr>
          <w:rFonts w:hint="eastAsia"/>
        </w:rPr>
        <w:t>▲</w:t>
      </w:r>
      <w:r>
        <w:rPr>
          <w:rFonts w:hint="eastAsia"/>
          <w:b/>
          <w:bCs/>
          <w:color w:val="FF0000"/>
          <w:u w:val="single"/>
        </w:rPr>
        <w:t>响应产品挂网要求：响应产品属于国家医疗保障局发布的《医保医用耗材分类与代码》目录且具有医疗器械注册证的全部医用耗材（不含一类医疗器械）的，</w:t>
      </w:r>
      <w:r>
        <w:rPr>
          <w:rFonts w:hint="eastAsia"/>
          <w:b/>
          <w:bCs/>
          <w:color w:val="FF0000"/>
          <w:u w:val="single"/>
          <w:lang w:val="en-US" w:eastAsia="zh-CN"/>
        </w:rPr>
        <w:t>如报价时尚未在</w:t>
      </w:r>
      <w:r>
        <w:rPr>
          <w:rFonts w:hint="eastAsia"/>
          <w:b/>
          <w:bCs/>
          <w:color w:val="FF0000"/>
          <w:u w:val="single"/>
        </w:rPr>
        <w:t>四川省药械集中采购及医药价格监管平台</w:t>
      </w:r>
      <w:r>
        <w:rPr>
          <w:rFonts w:hint="eastAsia"/>
          <w:b/>
          <w:bCs/>
          <w:color w:val="FF0000"/>
          <w:u w:val="single"/>
          <w:lang w:eastAsia="zh-CN"/>
        </w:rPr>
        <w:t>（</w:t>
      </w:r>
      <w:r>
        <w:rPr>
          <w:rFonts w:hint="eastAsia"/>
          <w:b/>
          <w:bCs/>
          <w:color w:val="FF0000"/>
          <w:u w:val="single"/>
          <w:lang w:val="en-US" w:eastAsia="zh-CN"/>
        </w:rPr>
        <w:t>以下简称集采平台</w:t>
      </w:r>
      <w:r>
        <w:rPr>
          <w:rFonts w:hint="eastAsia"/>
          <w:b/>
          <w:bCs/>
          <w:color w:val="FF0000"/>
          <w:u w:val="single"/>
          <w:lang w:eastAsia="zh-CN"/>
        </w:rPr>
        <w:t>）</w:t>
      </w:r>
      <w:r>
        <w:rPr>
          <w:rFonts w:hint="eastAsia"/>
          <w:b/>
          <w:bCs/>
          <w:color w:val="FF0000"/>
          <w:u w:val="single"/>
        </w:rPr>
        <w:t>挂网</w:t>
      </w:r>
      <w:r>
        <w:rPr>
          <w:rFonts w:hint="eastAsia"/>
          <w:b/>
          <w:bCs/>
          <w:color w:val="FF0000"/>
          <w:u w:val="single"/>
          <w:lang w:eastAsia="zh-CN"/>
        </w:rPr>
        <w:t>的，</w:t>
      </w:r>
      <w:r>
        <w:rPr>
          <w:rFonts w:hint="eastAsia"/>
          <w:b/>
          <w:bCs/>
          <w:color w:val="FF0000"/>
          <w:u w:val="single"/>
          <w:lang w:val="en-US" w:eastAsia="zh-CN"/>
        </w:rPr>
        <w:t>供应商需承诺中标后1-6个月内将中标产品在集采平台上挂网（挂网价格不高于中标价格），提供相应承诺函。已经挂网的需</w:t>
      </w:r>
      <w:r>
        <w:rPr>
          <w:rFonts w:hint="eastAsia"/>
          <w:b/>
          <w:bCs/>
          <w:color w:val="FF0000"/>
          <w:u w:val="single"/>
        </w:rPr>
        <w:t>提供产品挂网商品代码（流水号）</w:t>
      </w:r>
      <w:r>
        <w:rPr>
          <w:rFonts w:hint="eastAsia"/>
          <w:b/>
          <w:bCs/>
          <w:color w:val="FF0000"/>
          <w:u w:val="single"/>
          <w:lang w:val="en-US" w:eastAsia="zh-CN"/>
        </w:rPr>
        <w:t>和集采平台挂网截图</w:t>
      </w:r>
      <w:r>
        <w:rPr>
          <w:rFonts w:hint="eastAsia"/>
          <w:b/>
          <w:bCs/>
          <w:color w:val="FF0000"/>
          <w:u w:val="single"/>
          <w:lang w:eastAsia="zh-CN"/>
        </w:rPr>
        <w:t>。</w:t>
      </w:r>
    </w:p>
    <w:p>
      <w:pPr>
        <w:pStyle w:val="3"/>
        <w:spacing w:line="400" w:lineRule="exact"/>
        <w:ind w:firstLine="480"/>
        <w:rPr>
          <w:rFonts w:hint="default"/>
          <w:b/>
          <w:bCs/>
          <w:color w:val="FF0000"/>
          <w:u w:val="single"/>
          <w:lang w:val="en-US" w:eastAsia="zh-CN"/>
        </w:rPr>
      </w:pPr>
      <w:r>
        <w:rPr>
          <w:rFonts w:hint="eastAsia"/>
        </w:rPr>
        <w:t>▲</w:t>
      </w:r>
      <w:r>
        <w:rPr>
          <w:rFonts w:hint="eastAsia"/>
          <w:b/>
          <w:bCs/>
          <w:color w:val="FF0000"/>
          <w:u w:val="single"/>
          <w:lang w:val="en-US" w:eastAsia="zh-CN"/>
        </w:rPr>
        <w:t>如中标供应商未在承诺期限内将中标产品成功挂网，医院有权解除合同并对采购项目进行重新招采。</w:t>
      </w:r>
    </w:p>
    <w:p>
      <w:pPr>
        <w:pStyle w:val="2"/>
        <w:spacing w:after="0" w:line="360" w:lineRule="auto"/>
        <w:ind w:firstLine="275" w:firstLineChars="98"/>
        <w:rPr>
          <w:rFonts w:hint="eastAsia"/>
          <w:sz w:val="28"/>
          <w:szCs w:val="28"/>
          <w:lang w:val="en-US" w:eastAsia="zh-CN"/>
        </w:rPr>
      </w:pPr>
      <w:r>
        <w:rPr>
          <w:rFonts w:hint="eastAsia"/>
          <w:sz w:val="28"/>
          <w:szCs w:val="28"/>
          <w:lang w:val="en-US" w:eastAsia="zh-CN"/>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ascii="仿宋_GB2312" w:eastAsia="仿宋_GB2312" w:cs="Segoe UI" w:hAnsiTheme="minorEastAsia"/>
          <w:kern w:val="0"/>
          <w:sz w:val="24"/>
          <w:szCs w:val="24"/>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jc w:val="left"/>
        <w:rPr>
          <w:rFonts w:ascii="仿宋_GB2312" w:eastAsia="仿宋_GB2312" w:cs="Segoe UI" w:hAnsiTheme="minorEastAsia"/>
          <w:kern w:val="0"/>
          <w:sz w:val="24"/>
          <w:szCs w:val="24"/>
        </w:rPr>
      </w:pPr>
    </w:p>
    <w:p>
      <w:pPr>
        <w:widowControl/>
        <w:jc w:val="left"/>
        <w:rPr>
          <w:rFonts w:ascii="仿宋_GB2312" w:eastAsia="仿宋_GB2312" w:cs="Segoe UI" w:hAnsiTheme="minorEastAsia"/>
          <w:kern w:val="0"/>
          <w:sz w:val="24"/>
          <w:szCs w:val="24"/>
        </w:rPr>
      </w:pP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黑体" w:hAnsi="黑体" w:eastAsia="黑体" w:cs="Segoe UI"/>
          <w:color w:val="333333"/>
          <w:kern w:val="0"/>
          <w:sz w:val="32"/>
          <w:szCs w:val="32"/>
        </w:rPr>
      </w:pPr>
      <w:r>
        <w:rPr>
          <w:rFonts w:hint="eastAsia" w:ascii="黑体" w:hAnsi="黑体" w:eastAsia="黑体" w:cs="Segoe UI"/>
          <w:color w:val="333333"/>
          <w:kern w:val="0"/>
          <w:sz w:val="32"/>
          <w:szCs w:val="32"/>
        </w:rPr>
        <w:t>主要表格格式</w:t>
      </w:r>
    </w:p>
    <w:p>
      <w:pPr>
        <w:widowControl/>
        <w:shd w:val="clear" w:color="auto" w:fill="FFFFFF"/>
        <w:wordWrap w:val="0"/>
        <w:jc w:val="center"/>
        <w:rPr>
          <w:rFonts w:ascii="黑体" w:hAnsi="黑体" w:eastAsia="黑体" w:cs="Segoe UI"/>
          <w:color w:val="333333"/>
          <w:kern w:val="0"/>
          <w:sz w:val="32"/>
          <w:szCs w:val="32"/>
        </w:rPr>
      </w:pPr>
    </w:p>
    <w:tbl>
      <w:tblPr>
        <w:tblStyle w:val="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608"/>
        <w:gridCol w:w="996"/>
        <w:gridCol w:w="792"/>
        <w:gridCol w:w="960"/>
        <w:gridCol w:w="607"/>
        <w:gridCol w:w="804"/>
        <w:gridCol w:w="993"/>
        <w:gridCol w:w="735"/>
        <w:gridCol w:w="100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序号</w:t>
            </w:r>
          </w:p>
        </w:tc>
        <w:tc>
          <w:tcPr>
            <w:tcW w:w="1608"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材料名称</w:t>
            </w:r>
          </w:p>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（医疗器械注册证或备案凭证名称）</w:t>
            </w:r>
          </w:p>
        </w:tc>
        <w:tc>
          <w:tcPr>
            <w:tcW w:w="996"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生产厂家</w:t>
            </w:r>
          </w:p>
        </w:tc>
        <w:tc>
          <w:tcPr>
            <w:tcW w:w="792"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型号</w:t>
            </w:r>
          </w:p>
        </w:tc>
        <w:tc>
          <w:tcPr>
            <w:tcW w:w="960"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成交单价</w:t>
            </w:r>
          </w:p>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（元）</w:t>
            </w:r>
          </w:p>
        </w:tc>
        <w:tc>
          <w:tcPr>
            <w:tcW w:w="607"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单位</w:t>
            </w:r>
          </w:p>
        </w:tc>
        <w:tc>
          <w:tcPr>
            <w:tcW w:w="804"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预估年</w:t>
            </w:r>
            <w:r>
              <w:rPr>
                <w:rFonts w:hint="eastAsia" w:ascii="微软雅黑" w:hAnsi="微软雅黑" w:eastAsia="微软雅黑" w:cs="Arial"/>
                <w:sz w:val="24"/>
                <w:szCs w:val="24"/>
                <w:lang w:val="en-US" w:eastAsia="zh-CN"/>
              </w:rPr>
              <w:t>使</w:t>
            </w:r>
            <w:r>
              <w:rPr>
                <w:rFonts w:hint="eastAsia" w:ascii="微软雅黑" w:hAnsi="微软雅黑" w:eastAsia="微软雅黑" w:cs="Arial"/>
                <w:sz w:val="24"/>
                <w:szCs w:val="24"/>
              </w:rPr>
              <w:t>用量</w:t>
            </w:r>
          </w:p>
        </w:tc>
        <w:tc>
          <w:tcPr>
            <w:tcW w:w="993"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成交总价（元）（单价*预估年</w:t>
            </w:r>
            <w:r>
              <w:rPr>
                <w:rFonts w:hint="eastAsia" w:ascii="微软雅黑" w:hAnsi="微软雅黑" w:eastAsia="微软雅黑" w:cs="Arial"/>
                <w:sz w:val="24"/>
                <w:szCs w:val="24"/>
                <w:lang w:val="en-US" w:eastAsia="zh-CN"/>
              </w:rPr>
              <w:t>使</w:t>
            </w:r>
            <w:r>
              <w:rPr>
                <w:rFonts w:hint="eastAsia" w:ascii="微软雅黑" w:hAnsi="微软雅黑" w:eastAsia="微软雅黑" w:cs="Arial"/>
                <w:sz w:val="24"/>
                <w:szCs w:val="24"/>
              </w:rPr>
              <w:t>用量）</w:t>
            </w:r>
          </w:p>
        </w:tc>
        <w:tc>
          <w:tcPr>
            <w:tcW w:w="735"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挂网商品代码</w:t>
            </w:r>
          </w:p>
        </w:tc>
        <w:tc>
          <w:tcPr>
            <w:tcW w:w="1008"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国家医保编码</w:t>
            </w:r>
          </w:p>
        </w:tc>
        <w:tc>
          <w:tcPr>
            <w:tcW w:w="1284" w:type="dxa"/>
            <w:noWrap w:val="0"/>
            <w:vAlign w:val="center"/>
          </w:tcPr>
          <w:p>
            <w:pPr>
              <w:spacing w:line="420" w:lineRule="exact"/>
              <w:jc w:val="center"/>
              <w:rPr>
                <w:rFonts w:hint="eastAsia" w:ascii="微软雅黑" w:hAnsi="微软雅黑" w:eastAsia="微软雅黑" w:cs="Arial"/>
                <w:sz w:val="24"/>
                <w:szCs w:val="24"/>
              </w:rPr>
            </w:pPr>
            <w:r>
              <w:rPr>
                <w:rFonts w:hint="eastAsia" w:ascii="微软雅黑" w:hAnsi="微软雅黑" w:eastAsia="微软雅黑" w:cs="Arial"/>
                <w:sz w:val="24"/>
                <w:szCs w:val="24"/>
              </w:rPr>
              <w:t>医疗器械注册证号/备案凭证编号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spacing w:line="420" w:lineRule="exact"/>
              <w:jc w:val="center"/>
              <w:rPr>
                <w:rFonts w:hint="eastAsia" w:ascii="微软雅黑" w:hAnsi="微软雅黑" w:eastAsia="微软雅黑" w:cs="Arial"/>
                <w:sz w:val="24"/>
                <w:szCs w:val="24"/>
              </w:rPr>
            </w:pPr>
          </w:p>
        </w:tc>
        <w:tc>
          <w:tcPr>
            <w:tcW w:w="1608" w:type="dxa"/>
            <w:noWrap w:val="0"/>
            <w:vAlign w:val="center"/>
          </w:tcPr>
          <w:p>
            <w:pPr>
              <w:spacing w:line="420" w:lineRule="exact"/>
              <w:jc w:val="center"/>
              <w:rPr>
                <w:rFonts w:hint="eastAsia" w:ascii="微软雅黑" w:hAnsi="微软雅黑" w:eastAsia="微软雅黑" w:cs="Arial"/>
                <w:sz w:val="24"/>
                <w:szCs w:val="24"/>
              </w:rPr>
            </w:pPr>
          </w:p>
        </w:tc>
        <w:tc>
          <w:tcPr>
            <w:tcW w:w="996" w:type="dxa"/>
            <w:noWrap w:val="0"/>
            <w:vAlign w:val="center"/>
          </w:tcPr>
          <w:p>
            <w:pPr>
              <w:spacing w:line="420" w:lineRule="exact"/>
              <w:jc w:val="center"/>
              <w:rPr>
                <w:rFonts w:hint="eastAsia" w:ascii="微软雅黑" w:hAnsi="微软雅黑" w:eastAsia="微软雅黑" w:cs="Arial"/>
                <w:sz w:val="24"/>
                <w:szCs w:val="24"/>
              </w:rPr>
            </w:pPr>
          </w:p>
        </w:tc>
        <w:tc>
          <w:tcPr>
            <w:tcW w:w="792" w:type="dxa"/>
            <w:noWrap w:val="0"/>
            <w:vAlign w:val="center"/>
          </w:tcPr>
          <w:p>
            <w:pPr>
              <w:spacing w:line="420" w:lineRule="exact"/>
              <w:jc w:val="center"/>
              <w:rPr>
                <w:rFonts w:hint="eastAsia" w:ascii="微软雅黑" w:hAnsi="微软雅黑" w:eastAsia="微软雅黑" w:cs="Arial"/>
                <w:sz w:val="24"/>
                <w:szCs w:val="24"/>
              </w:rPr>
            </w:pPr>
          </w:p>
        </w:tc>
        <w:tc>
          <w:tcPr>
            <w:tcW w:w="960" w:type="dxa"/>
            <w:noWrap w:val="0"/>
            <w:vAlign w:val="center"/>
          </w:tcPr>
          <w:p>
            <w:pPr>
              <w:spacing w:line="420" w:lineRule="exact"/>
              <w:jc w:val="center"/>
              <w:rPr>
                <w:rFonts w:hint="eastAsia" w:ascii="微软雅黑" w:hAnsi="微软雅黑" w:eastAsia="微软雅黑" w:cs="Arial"/>
                <w:sz w:val="24"/>
                <w:szCs w:val="24"/>
              </w:rPr>
            </w:pPr>
          </w:p>
        </w:tc>
        <w:tc>
          <w:tcPr>
            <w:tcW w:w="607" w:type="dxa"/>
            <w:noWrap w:val="0"/>
            <w:vAlign w:val="center"/>
          </w:tcPr>
          <w:p>
            <w:pPr>
              <w:spacing w:line="420" w:lineRule="exact"/>
              <w:jc w:val="center"/>
              <w:rPr>
                <w:rFonts w:hint="eastAsia" w:ascii="微软雅黑" w:hAnsi="微软雅黑" w:eastAsia="微软雅黑" w:cs="Arial"/>
                <w:sz w:val="24"/>
                <w:szCs w:val="24"/>
              </w:rPr>
            </w:pPr>
          </w:p>
        </w:tc>
        <w:tc>
          <w:tcPr>
            <w:tcW w:w="804" w:type="dxa"/>
            <w:noWrap w:val="0"/>
            <w:vAlign w:val="center"/>
          </w:tcPr>
          <w:p>
            <w:pPr>
              <w:spacing w:line="420" w:lineRule="exact"/>
              <w:jc w:val="center"/>
              <w:rPr>
                <w:rFonts w:hint="eastAsia" w:ascii="微软雅黑" w:hAnsi="微软雅黑" w:eastAsia="微软雅黑" w:cs="Arial"/>
                <w:sz w:val="24"/>
                <w:szCs w:val="24"/>
              </w:rPr>
            </w:pPr>
          </w:p>
        </w:tc>
        <w:tc>
          <w:tcPr>
            <w:tcW w:w="993" w:type="dxa"/>
            <w:noWrap w:val="0"/>
            <w:vAlign w:val="center"/>
          </w:tcPr>
          <w:p>
            <w:pPr>
              <w:spacing w:line="420" w:lineRule="exact"/>
              <w:jc w:val="center"/>
              <w:rPr>
                <w:rFonts w:hint="eastAsia" w:ascii="微软雅黑" w:hAnsi="微软雅黑" w:eastAsia="微软雅黑" w:cs="Arial"/>
                <w:sz w:val="24"/>
                <w:szCs w:val="24"/>
              </w:rPr>
            </w:pPr>
          </w:p>
        </w:tc>
        <w:tc>
          <w:tcPr>
            <w:tcW w:w="735" w:type="dxa"/>
            <w:noWrap w:val="0"/>
            <w:vAlign w:val="center"/>
          </w:tcPr>
          <w:p>
            <w:pPr>
              <w:spacing w:line="420" w:lineRule="exact"/>
              <w:jc w:val="center"/>
              <w:rPr>
                <w:rFonts w:hint="eastAsia" w:ascii="微软雅黑" w:hAnsi="微软雅黑" w:eastAsia="微软雅黑" w:cs="Arial"/>
                <w:sz w:val="24"/>
                <w:szCs w:val="24"/>
              </w:rPr>
            </w:pPr>
          </w:p>
        </w:tc>
        <w:tc>
          <w:tcPr>
            <w:tcW w:w="1008" w:type="dxa"/>
            <w:noWrap w:val="0"/>
            <w:vAlign w:val="center"/>
          </w:tcPr>
          <w:p>
            <w:pPr>
              <w:spacing w:line="420" w:lineRule="exact"/>
              <w:jc w:val="center"/>
              <w:rPr>
                <w:rFonts w:hint="eastAsia" w:ascii="微软雅黑" w:hAnsi="微软雅黑" w:eastAsia="微软雅黑" w:cs="Arial"/>
                <w:sz w:val="24"/>
                <w:szCs w:val="24"/>
              </w:rPr>
            </w:pPr>
          </w:p>
        </w:tc>
        <w:tc>
          <w:tcPr>
            <w:tcW w:w="1284" w:type="dxa"/>
            <w:noWrap w:val="0"/>
            <w:vAlign w:val="center"/>
          </w:tcPr>
          <w:p>
            <w:pPr>
              <w:spacing w:line="420" w:lineRule="exact"/>
              <w:jc w:val="center"/>
              <w:rPr>
                <w:rFonts w:hint="eastAsia" w:ascii="微软雅黑" w:hAnsi="微软雅黑" w:eastAsia="微软雅黑"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spacing w:line="420" w:lineRule="exact"/>
              <w:jc w:val="center"/>
              <w:rPr>
                <w:rFonts w:hint="eastAsia" w:ascii="微软雅黑" w:hAnsi="微软雅黑" w:eastAsia="微软雅黑" w:cs="Arial"/>
                <w:sz w:val="24"/>
                <w:szCs w:val="24"/>
              </w:rPr>
            </w:pPr>
          </w:p>
        </w:tc>
        <w:tc>
          <w:tcPr>
            <w:tcW w:w="1608" w:type="dxa"/>
            <w:noWrap w:val="0"/>
            <w:vAlign w:val="center"/>
          </w:tcPr>
          <w:p>
            <w:pPr>
              <w:spacing w:line="420" w:lineRule="exact"/>
              <w:jc w:val="center"/>
              <w:rPr>
                <w:rFonts w:hint="eastAsia" w:ascii="微软雅黑" w:hAnsi="微软雅黑" w:eastAsia="微软雅黑" w:cs="Arial"/>
                <w:sz w:val="24"/>
                <w:szCs w:val="24"/>
              </w:rPr>
            </w:pPr>
          </w:p>
        </w:tc>
        <w:tc>
          <w:tcPr>
            <w:tcW w:w="996" w:type="dxa"/>
            <w:noWrap w:val="0"/>
            <w:vAlign w:val="center"/>
          </w:tcPr>
          <w:p>
            <w:pPr>
              <w:spacing w:line="420" w:lineRule="exact"/>
              <w:jc w:val="center"/>
              <w:rPr>
                <w:rFonts w:hint="eastAsia" w:ascii="微软雅黑" w:hAnsi="微软雅黑" w:eastAsia="微软雅黑" w:cs="Arial"/>
                <w:sz w:val="24"/>
                <w:szCs w:val="24"/>
              </w:rPr>
            </w:pPr>
          </w:p>
        </w:tc>
        <w:tc>
          <w:tcPr>
            <w:tcW w:w="792" w:type="dxa"/>
            <w:noWrap w:val="0"/>
            <w:vAlign w:val="center"/>
          </w:tcPr>
          <w:p>
            <w:pPr>
              <w:spacing w:line="420" w:lineRule="exact"/>
              <w:jc w:val="center"/>
              <w:rPr>
                <w:rFonts w:hint="eastAsia" w:ascii="微软雅黑" w:hAnsi="微软雅黑" w:eastAsia="微软雅黑" w:cs="Arial"/>
                <w:sz w:val="24"/>
                <w:szCs w:val="24"/>
              </w:rPr>
            </w:pPr>
          </w:p>
        </w:tc>
        <w:tc>
          <w:tcPr>
            <w:tcW w:w="960" w:type="dxa"/>
            <w:noWrap w:val="0"/>
            <w:vAlign w:val="center"/>
          </w:tcPr>
          <w:p>
            <w:pPr>
              <w:spacing w:line="420" w:lineRule="exact"/>
              <w:jc w:val="center"/>
              <w:rPr>
                <w:rFonts w:hint="eastAsia" w:ascii="微软雅黑" w:hAnsi="微软雅黑" w:eastAsia="微软雅黑" w:cs="Arial"/>
                <w:sz w:val="24"/>
                <w:szCs w:val="24"/>
              </w:rPr>
            </w:pPr>
          </w:p>
        </w:tc>
        <w:tc>
          <w:tcPr>
            <w:tcW w:w="607" w:type="dxa"/>
            <w:noWrap w:val="0"/>
            <w:vAlign w:val="center"/>
          </w:tcPr>
          <w:p>
            <w:pPr>
              <w:spacing w:line="420" w:lineRule="exact"/>
              <w:jc w:val="center"/>
              <w:rPr>
                <w:rFonts w:hint="eastAsia" w:ascii="微软雅黑" w:hAnsi="微软雅黑" w:eastAsia="微软雅黑" w:cs="Arial"/>
                <w:sz w:val="24"/>
                <w:szCs w:val="24"/>
              </w:rPr>
            </w:pPr>
          </w:p>
        </w:tc>
        <w:tc>
          <w:tcPr>
            <w:tcW w:w="804" w:type="dxa"/>
            <w:noWrap w:val="0"/>
            <w:vAlign w:val="center"/>
          </w:tcPr>
          <w:p>
            <w:pPr>
              <w:spacing w:line="420" w:lineRule="exact"/>
              <w:jc w:val="center"/>
              <w:rPr>
                <w:rFonts w:hint="eastAsia" w:ascii="微软雅黑" w:hAnsi="微软雅黑" w:eastAsia="微软雅黑" w:cs="Arial"/>
                <w:sz w:val="24"/>
                <w:szCs w:val="24"/>
              </w:rPr>
            </w:pPr>
          </w:p>
        </w:tc>
        <w:tc>
          <w:tcPr>
            <w:tcW w:w="993" w:type="dxa"/>
            <w:noWrap w:val="0"/>
            <w:vAlign w:val="center"/>
          </w:tcPr>
          <w:p>
            <w:pPr>
              <w:spacing w:line="420" w:lineRule="exact"/>
              <w:jc w:val="center"/>
              <w:rPr>
                <w:rFonts w:hint="eastAsia" w:ascii="微软雅黑" w:hAnsi="微软雅黑" w:eastAsia="微软雅黑" w:cs="Arial"/>
                <w:sz w:val="24"/>
                <w:szCs w:val="24"/>
              </w:rPr>
            </w:pPr>
          </w:p>
        </w:tc>
        <w:tc>
          <w:tcPr>
            <w:tcW w:w="735" w:type="dxa"/>
            <w:noWrap w:val="0"/>
            <w:vAlign w:val="center"/>
          </w:tcPr>
          <w:p>
            <w:pPr>
              <w:spacing w:line="420" w:lineRule="exact"/>
              <w:jc w:val="center"/>
              <w:rPr>
                <w:rFonts w:hint="eastAsia" w:ascii="微软雅黑" w:hAnsi="微软雅黑" w:eastAsia="微软雅黑" w:cs="Arial"/>
                <w:sz w:val="24"/>
                <w:szCs w:val="24"/>
              </w:rPr>
            </w:pPr>
          </w:p>
        </w:tc>
        <w:tc>
          <w:tcPr>
            <w:tcW w:w="1008" w:type="dxa"/>
            <w:noWrap w:val="0"/>
            <w:vAlign w:val="center"/>
          </w:tcPr>
          <w:p>
            <w:pPr>
              <w:spacing w:line="420" w:lineRule="exact"/>
              <w:jc w:val="center"/>
              <w:rPr>
                <w:rFonts w:hint="eastAsia" w:ascii="微软雅黑" w:hAnsi="微软雅黑" w:eastAsia="微软雅黑" w:cs="Arial"/>
                <w:sz w:val="24"/>
                <w:szCs w:val="24"/>
              </w:rPr>
            </w:pPr>
          </w:p>
        </w:tc>
        <w:tc>
          <w:tcPr>
            <w:tcW w:w="1284" w:type="dxa"/>
            <w:noWrap w:val="0"/>
            <w:vAlign w:val="center"/>
          </w:tcPr>
          <w:p>
            <w:pPr>
              <w:spacing w:line="420" w:lineRule="exact"/>
              <w:jc w:val="center"/>
              <w:rPr>
                <w:rFonts w:hint="eastAsia" w:ascii="微软雅黑" w:hAnsi="微软雅黑" w:eastAsia="微软雅黑"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spacing w:line="420" w:lineRule="exact"/>
              <w:jc w:val="center"/>
              <w:rPr>
                <w:rFonts w:hint="eastAsia" w:ascii="微软雅黑" w:hAnsi="微软雅黑" w:eastAsia="微软雅黑" w:cs="Arial"/>
                <w:sz w:val="24"/>
                <w:szCs w:val="24"/>
              </w:rPr>
            </w:pPr>
          </w:p>
        </w:tc>
        <w:tc>
          <w:tcPr>
            <w:tcW w:w="1608" w:type="dxa"/>
            <w:noWrap w:val="0"/>
            <w:vAlign w:val="center"/>
          </w:tcPr>
          <w:p>
            <w:pPr>
              <w:spacing w:line="420" w:lineRule="exact"/>
              <w:jc w:val="center"/>
              <w:rPr>
                <w:rFonts w:hint="eastAsia" w:ascii="微软雅黑" w:hAnsi="微软雅黑" w:eastAsia="微软雅黑" w:cs="Arial"/>
                <w:sz w:val="24"/>
                <w:szCs w:val="24"/>
              </w:rPr>
            </w:pPr>
          </w:p>
        </w:tc>
        <w:tc>
          <w:tcPr>
            <w:tcW w:w="996" w:type="dxa"/>
            <w:noWrap w:val="0"/>
            <w:vAlign w:val="center"/>
          </w:tcPr>
          <w:p>
            <w:pPr>
              <w:spacing w:line="420" w:lineRule="exact"/>
              <w:jc w:val="center"/>
              <w:rPr>
                <w:rFonts w:hint="eastAsia" w:ascii="微软雅黑" w:hAnsi="微软雅黑" w:eastAsia="微软雅黑" w:cs="Arial"/>
                <w:sz w:val="24"/>
                <w:szCs w:val="24"/>
              </w:rPr>
            </w:pPr>
          </w:p>
        </w:tc>
        <w:tc>
          <w:tcPr>
            <w:tcW w:w="792" w:type="dxa"/>
            <w:noWrap w:val="0"/>
            <w:vAlign w:val="center"/>
          </w:tcPr>
          <w:p>
            <w:pPr>
              <w:spacing w:line="420" w:lineRule="exact"/>
              <w:jc w:val="center"/>
              <w:rPr>
                <w:rFonts w:hint="eastAsia" w:ascii="微软雅黑" w:hAnsi="微软雅黑" w:eastAsia="微软雅黑" w:cs="Arial"/>
                <w:sz w:val="24"/>
                <w:szCs w:val="24"/>
              </w:rPr>
            </w:pPr>
          </w:p>
        </w:tc>
        <w:tc>
          <w:tcPr>
            <w:tcW w:w="960" w:type="dxa"/>
            <w:noWrap w:val="0"/>
            <w:vAlign w:val="center"/>
          </w:tcPr>
          <w:p>
            <w:pPr>
              <w:spacing w:line="420" w:lineRule="exact"/>
              <w:jc w:val="center"/>
              <w:rPr>
                <w:rFonts w:hint="eastAsia" w:ascii="微软雅黑" w:hAnsi="微软雅黑" w:eastAsia="微软雅黑" w:cs="Arial"/>
                <w:sz w:val="24"/>
                <w:szCs w:val="24"/>
              </w:rPr>
            </w:pPr>
          </w:p>
        </w:tc>
        <w:tc>
          <w:tcPr>
            <w:tcW w:w="607" w:type="dxa"/>
            <w:noWrap w:val="0"/>
            <w:vAlign w:val="center"/>
          </w:tcPr>
          <w:p>
            <w:pPr>
              <w:spacing w:line="420" w:lineRule="exact"/>
              <w:jc w:val="center"/>
              <w:rPr>
                <w:rFonts w:hint="eastAsia" w:ascii="微软雅黑" w:hAnsi="微软雅黑" w:eastAsia="微软雅黑" w:cs="Arial"/>
                <w:sz w:val="24"/>
                <w:szCs w:val="24"/>
              </w:rPr>
            </w:pPr>
          </w:p>
        </w:tc>
        <w:tc>
          <w:tcPr>
            <w:tcW w:w="804" w:type="dxa"/>
            <w:noWrap w:val="0"/>
            <w:vAlign w:val="center"/>
          </w:tcPr>
          <w:p>
            <w:pPr>
              <w:spacing w:line="420" w:lineRule="exact"/>
              <w:jc w:val="center"/>
              <w:rPr>
                <w:rFonts w:hint="eastAsia" w:ascii="微软雅黑" w:hAnsi="微软雅黑" w:eastAsia="微软雅黑" w:cs="Arial"/>
                <w:sz w:val="24"/>
                <w:szCs w:val="24"/>
              </w:rPr>
            </w:pPr>
          </w:p>
        </w:tc>
        <w:tc>
          <w:tcPr>
            <w:tcW w:w="993" w:type="dxa"/>
            <w:noWrap w:val="0"/>
            <w:vAlign w:val="center"/>
          </w:tcPr>
          <w:p>
            <w:pPr>
              <w:spacing w:line="420" w:lineRule="exact"/>
              <w:jc w:val="center"/>
              <w:rPr>
                <w:rFonts w:hint="eastAsia" w:ascii="微软雅黑" w:hAnsi="微软雅黑" w:eastAsia="微软雅黑" w:cs="Arial"/>
                <w:sz w:val="24"/>
                <w:szCs w:val="24"/>
              </w:rPr>
            </w:pPr>
          </w:p>
        </w:tc>
        <w:tc>
          <w:tcPr>
            <w:tcW w:w="735" w:type="dxa"/>
            <w:noWrap w:val="0"/>
            <w:vAlign w:val="center"/>
          </w:tcPr>
          <w:p>
            <w:pPr>
              <w:spacing w:line="420" w:lineRule="exact"/>
              <w:jc w:val="center"/>
              <w:rPr>
                <w:rFonts w:hint="eastAsia" w:ascii="微软雅黑" w:hAnsi="微软雅黑" w:eastAsia="微软雅黑" w:cs="Arial"/>
                <w:sz w:val="24"/>
                <w:szCs w:val="24"/>
              </w:rPr>
            </w:pPr>
          </w:p>
        </w:tc>
        <w:tc>
          <w:tcPr>
            <w:tcW w:w="1008" w:type="dxa"/>
            <w:noWrap w:val="0"/>
            <w:vAlign w:val="center"/>
          </w:tcPr>
          <w:p>
            <w:pPr>
              <w:spacing w:line="420" w:lineRule="exact"/>
              <w:jc w:val="center"/>
              <w:rPr>
                <w:rFonts w:hint="eastAsia" w:ascii="微软雅黑" w:hAnsi="微软雅黑" w:eastAsia="微软雅黑" w:cs="Arial"/>
                <w:sz w:val="24"/>
                <w:szCs w:val="24"/>
              </w:rPr>
            </w:pPr>
          </w:p>
        </w:tc>
        <w:tc>
          <w:tcPr>
            <w:tcW w:w="1284" w:type="dxa"/>
            <w:noWrap w:val="0"/>
            <w:vAlign w:val="center"/>
          </w:tcPr>
          <w:p>
            <w:pPr>
              <w:spacing w:line="420" w:lineRule="exact"/>
              <w:jc w:val="center"/>
              <w:rPr>
                <w:rFonts w:hint="eastAsia" w:ascii="微软雅黑" w:hAnsi="微软雅黑" w:eastAsia="微软雅黑"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spacing w:line="420" w:lineRule="exact"/>
              <w:jc w:val="center"/>
              <w:rPr>
                <w:rFonts w:hint="eastAsia" w:ascii="微软雅黑" w:hAnsi="微软雅黑" w:eastAsia="微软雅黑" w:cs="Arial"/>
                <w:sz w:val="24"/>
                <w:szCs w:val="24"/>
              </w:rPr>
            </w:pPr>
          </w:p>
        </w:tc>
        <w:tc>
          <w:tcPr>
            <w:tcW w:w="1608" w:type="dxa"/>
            <w:noWrap w:val="0"/>
            <w:vAlign w:val="center"/>
          </w:tcPr>
          <w:p>
            <w:pPr>
              <w:spacing w:line="420" w:lineRule="exact"/>
              <w:jc w:val="center"/>
              <w:rPr>
                <w:rFonts w:hint="eastAsia" w:ascii="微软雅黑" w:hAnsi="微软雅黑" w:eastAsia="微软雅黑" w:cs="Arial"/>
                <w:sz w:val="24"/>
                <w:szCs w:val="24"/>
              </w:rPr>
            </w:pPr>
          </w:p>
        </w:tc>
        <w:tc>
          <w:tcPr>
            <w:tcW w:w="996" w:type="dxa"/>
            <w:noWrap w:val="0"/>
            <w:vAlign w:val="center"/>
          </w:tcPr>
          <w:p>
            <w:pPr>
              <w:spacing w:line="420" w:lineRule="exact"/>
              <w:jc w:val="center"/>
              <w:rPr>
                <w:rFonts w:hint="eastAsia" w:ascii="微软雅黑" w:hAnsi="微软雅黑" w:eastAsia="微软雅黑" w:cs="Arial"/>
                <w:sz w:val="24"/>
                <w:szCs w:val="24"/>
              </w:rPr>
            </w:pPr>
          </w:p>
        </w:tc>
        <w:tc>
          <w:tcPr>
            <w:tcW w:w="792" w:type="dxa"/>
            <w:noWrap w:val="0"/>
            <w:vAlign w:val="center"/>
          </w:tcPr>
          <w:p>
            <w:pPr>
              <w:spacing w:line="420" w:lineRule="exact"/>
              <w:jc w:val="center"/>
              <w:rPr>
                <w:rFonts w:hint="eastAsia" w:ascii="微软雅黑" w:hAnsi="微软雅黑" w:eastAsia="微软雅黑" w:cs="Arial"/>
                <w:sz w:val="24"/>
                <w:szCs w:val="24"/>
              </w:rPr>
            </w:pPr>
          </w:p>
        </w:tc>
        <w:tc>
          <w:tcPr>
            <w:tcW w:w="960" w:type="dxa"/>
            <w:noWrap w:val="0"/>
            <w:vAlign w:val="center"/>
          </w:tcPr>
          <w:p>
            <w:pPr>
              <w:spacing w:line="420" w:lineRule="exact"/>
              <w:jc w:val="center"/>
              <w:rPr>
                <w:rFonts w:hint="eastAsia" w:ascii="微软雅黑" w:hAnsi="微软雅黑" w:eastAsia="微软雅黑" w:cs="Arial"/>
                <w:sz w:val="24"/>
                <w:szCs w:val="24"/>
              </w:rPr>
            </w:pPr>
          </w:p>
        </w:tc>
        <w:tc>
          <w:tcPr>
            <w:tcW w:w="607" w:type="dxa"/>
            <w:noWrap w:val="0"/>
            <w:vAlign w:val="center"/>
          </w:tcPr>
          <w:p>
            <w:pPr>
              <w:spacing w:line="420" w:lineRule="exact"/>
              <w:jc w:val="center"/>
              <w:rPr>
                <w:rFonts w:hint="eastAsia" w:ascii="微软雅黑" w:hAnsi="微软雅黑" w:eastAsia="微软雅黑" w:cs="Arial"/>
                <w:sz w:val="24"/>
                <w:szCs w:val="24"/>
              </w:rPr>
            </w:pPr>
          </w:p>
        </w:tc>
        <w:tc>
          <w:tcPr>
            <w:tcW w:w="804" w:type="dxa"/>
            <w:noWrap w:val="0"/>
            <w:vAlign w:val="center"/>
          </w:tcPr>
          <w:p>
            <w:pPr>
              <w:spacing w:line="420" w:lineRule="exact"/>
              <w:jc w:val="center"/>
              <w:rPr>
                <w:rFonts w:hint="eastAsia" w:ascii="微软雅黑" w:hAnsi="微软雅黑" w:eastAsia="微软雅黑" w:cs="Arial"/>
                <w:sz w:val="24"/>
                <w:szCs w:val="24"/>
              </w:rPr>
            </w:pPr>
          </w:p>
        </w:tc>
        <w:tc>
          <w:tcPr>
            <w:tcW w:w="993" w:type="dxa"/>
            <w:noWrap w:val="0"/>
            <w:vAlign w:val="center"/>
          </w:tcPr>
          <w:p>
            <w:pPr>
              <w:spacing w:line="420" w:lineRule="exact"/>
              <w:jc w:val="center"/>
              <w:rPr>
                <w:rFonts w:hint="eastAsia" w:ascii="微软雅黑" w:hAnsi="微软雅黑" w:eastAsia="微软雅黑" w:cs="Arial"/>
                <w:sz w:val="24"/>
                <w:szCs w:val="24"/>
              </w:rPr>
            </w:pPr>
          </w:p>
        </w:tc>
        <w:tc>
          <w:tcPr>
            <w:tcW w:w="735" w:type="dxa"/>
            <w:noWrap w:val="0"/>
            <w:vAlign w:val="center"/>
          </w:tcPr>
          <w:p>
            <w:pPr>
              <w:spacing w:line="420" w:lineRule="exact"/>
              <w:jc w:val="center"/>
              <w:rPr>
                <w:rFonts w:hint="eastAsia" w:ascii="微软雅黑" w:hAnsi="微软雅黑" w:eastAsia="微软雅黑" w:cs="Arial"/>
                <w:sz w:val="24"/>
                <w:szCs w:val="24"/>
              </w:rPr>
            </w:pPr>
          </w:p>
        </w:tc>
        <w:tc>
          <w:tcPr>
            <w:tcW w:w="1008" w:type="dxa"/>
            <w:noWrap w:val="0"/>
            <w:vAlign w:val="center"/>
          </w:tcPr>
          <w:p>
            <w:pPr>
              <w:spacing w:line="420" w:lineRule="exact"/>
              <w:jc w:val="center"/>
              <w:rPr>
                <w:rFonts w:hint="eastAsia" w:ascii="微软雅黑" w:hAnsi="微软雅黑" w:eastAsia="微软雅黑" w:cs="Arial"/>
                <w:sz w:val="24"/>
                <w:szCs w:val="24"/>
              </w:rPr>
            </w:pPr>
          </w:p>
        </w:tc>
        <w:tc>
          <w:tcPr>
            <w:tcW w:w="1284" w:type="dxa"/>
            <w:noWrap w:val="0"/>
            <w:vAlign w:val="center"/>
          </w:tcPr>
          <w:p>
            <w:pPr>
              <w:spacing w:line="420" w:lineRule="exact"/>
              <w:jc w:val="center"/>
              <w:rPr>
                <w:rFonts w:hint="eastAsia" w:ascii="微软雅黑" w:hAnsi="微软雅黑" w:eastAsia="微软雅黑"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7" w:type="dxa"/>
            <w:gridSpan w:val="11"/>
            <w:noWrap w:val="0"/>
            <w:vAlign w:val="center"/>
          </w:tcPr>
          <w:p>
            <w:pPr>
              <w:spacing w:line="420" w:lineRule="exact"/>
              <w:jc w:val="center"/>
              <w:rPr>
                <w:rFonts w:hint="eastAsia" w:ascii="微软雅黑" w:hAnsi="微软雅黑" w:eastAsia="微软雅黑" w:cs="Arial"/>
                <w:sz w:val="24"/>
                <w:szCs w:val="24"/>
              </w:rPr>
            </w:pPr>
            <w:r>
              <w:rPr>
                <w:rFonts w:hint="eastAsia" w:ascii="宋体" w:hAnsi="宋体" w:eastAsia="宋体" w:cs="Segoe UI"/>
                <w:color w:val="333333"/>
                <w:kern w:val="0"/>
                <w:sz w:val="24"/>
                <w:szCs w:val="24"/>
                <w:lang w:val="en-US" w:eastAsia="zh-CN"/>
              </w:rPr>
              <w:t>报价总价：</w:t>
            </w:r>
            <w:r>
              <w:rPr>
                <w:rFonts w:hint="eastAsia" w:ascii="宋体" w:hAnsi="宋体" w:eastAsia="宋体" w:cs="Segoe UI"/>
                <w:color w:val="333333"/>
                <w:kern w:val="0"/>
                <w:sz w:val="24"/>
                <w:szCs w:val="24"/>
                <w:u w:val="single"/>
                <w:lang w:val="en-US" w:eastAsia="zh-CN"/>
              </w:rPr>
              <w:t xml:space="preserve">      元（大写：          ）</w:t>
            </w:r>
            <w:r>
              <w:rPr>
                <w:rFonts w:hint="eastAsia" w:ascii="宋体" w:hAnsi="宋体" w:eastAsia="宋体" w:cs="Segoe UI"/>
                <w:color w:val="333333"/>
                <w:kern w:val="0"/>
                <w:sz w:val="24"/>
                <w:szCs w:val="24"/>
                <w:lang w:val="en-US" w:eastAsia="zh-CN"/>
              </w:rPr>
              <w:t>（</w:t>
            </w:r>
            <w:r>
              <w:rPr>
                <w:rFonts w:hint="eastAsia" w:ascii="仿宋_GB2312" w:hAnsi="Segoe UI" w:eastAsia="仿宋_GB2312" w:cs="Segoe UI"/>
                <w:color w:val="000000" w:themeColor="text1"/>
                <w:spacing w:val="8"/>
                <w:kern w:val="0"/>
                <w:sz w:val="24"/>
                <w:szCs w:val="24"/>
              </w:rPr>
              <w:t>根据预</w:t>
            </w:r>
            <w:r>
              <w:rPr>
                <w:rFonts w:hint="eastAsia" w:ascii="仿宋_GB2312" w:hAnsi="Segoe UI" w:eastAsia="仿宋_GB2312" w:cs="Segoe UI"/>
                <w:color w:val="000000" w:themeColor="text1"/>
                <w:spacing w:val="8"/>
                <w:kern w:val="0"/>
                <w:sz w:val="24"/>
                <w:szCs w:val="24"/>
                <w:lang w:val="en-US" w:eastAsia="zh-CN"/>
              </w:rPr>
              <w:t>估</w:t>
            </w:r>
            <w:r>
              <w:rPr>
                <w:rFonts w:hint="eastAsia" w:ascii="仿宋_GB2312" w:hAnsi="Segoe UI" w:eastAsia="仿宋_GB2312" w:cs="Segoe UI"/>
                <w:color w:val="000000" w:themeColor="text1"/>
                <w:spacing w:val="8"/>
                <w:kern w:val="0"/>
                <w:sz w:val="24"/>
                <w:szCs w:val="24"/>
              </w:rPr>
              <w:t>年</w:t>
            </w:r>
            <w:r>
              <w:rPr>
                <w:rFonts w:hint="eastAsia" w:ascii="仿宋_GB2312" w:hAnsi="Segoe UI" w:eastAsia="仿宋_GB2312" w:cs="Segoe UI"/>
                <w:color w:val="000000" w:themeColor="text1"/>
                <w:spacing w:val="8"/>
                <w:kern w:val="0"/>
                <w:sz w:val="24"/>
                <w:szCs w:val="24"/>
                <w:lang w:val="en-US" w:eastAsia="zh-CN"/>
              </w:rPr>
              <w:t>使用</w:t>
            </w:r>
            <w:r>
              <w:rPr>
                <w:rFonts w:hint="eastAsia" w:ascii="仿宋_GB2312" w:hAnsi="Segoe UI" w:eastAsia="仿宋_GB2312" w:cs="Segoe UI"/>
                <w:color w:val="000000" w:themeColor="text1"/>
                <w:spacing w:val="8"/>
                <w:kern w:val="0"/>
                <w:sz w:val="24"/>
                <w:szCs w:val="24"/>
              </w:rPr>
              <w:t>量计算</w:t>
            </w:r>
            <w:r>
              <w:rPr>
                <w:rFonts w:hint="eastAsia" w:ascii="宋体" w:hAnsi="宋体" w:eastAsia="宋体" w:cs="Segoe UI"/>
                <w:color w:val="333333"/>
                <w:kern w:val="0"/>
                <w:sz w:val="24"/>
                <w:szCs w:val="24"/>
                <w:lang w:val="en-US" w:eastAsia="zh-CN"/>
              </w:rPr>
              <w:t>）</w:t>
            </w:r>
          </w:p>
        </w:tc>
      </w:tr>
    </w:tbl>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p>
    <w:p>
      <w:pPr>
        <w:widowControl/>
        <w:shd w:val="clear" w:color="auto" w:fill="FFFFFF"/>
        <w:wordWrap w:val="0"/>
        <w:jc w:val="left"/>
        <w:rPr>
          <w:rFonts w:hint="eastAsia" w:ascii="宋体" w:hAnsi="宋体" w:eastAsia="宋体" w:cs="Segoe UI"/>
          <w:color w:val="333333"/>
          <w:kern w:val="0"/>
          <w:sz w:val="24"/>
          <w:szCs w:val="24"/>
        </w:rPr>
      </w:pPr>
    </w:p>
    <w:p>
      <w:pPr>
        <w:widowControl/>
        <w:shd w:val="clear" w:color="auto" w:fill="FFFFFF"/>
        <w:wordWrap w:val="0"/>
        <w:jc w:val="left"/>
        <w:rPr>
          <w:rFonts w:hint="eastAsia"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配置及偏离表</w:t>
      </w:r>
    </w:p>
    <w:tbl>
      <w:tblPr>
        <w:tblStyle w:val="8"/>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1、此表要求投标文件与招标文件要求一一对应、逐一列出；</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8"/>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说明：</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1、表中产品为近三年销售，用户仍在使用的货物；</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bookmarkStart w:id="1" w:name="_GoBack"/>
      <w:bookmarkEnd w:id="1"/>
      <w:r>
        <w:rPr>
          <w:rFonts w:hint="eastAsia" w:ascii="黑体" w:hAnsi="黑体" w:eastAsia="黑体" w:cs="Segoe UI"/>
          <w:color w:val="333333"/>
          <w:kern w:val="0"/>
          <w:sz w:val="32"/>
          <w:szCs w:val="32"/>
        </w:rPr>
        <w:t>附件</w:t>
      </w:r>
      <w:r>
        <w:rPr>
          <w:rFonts w:hint="eastAsia" w:ascii="黑体" w:hAnsi="黑体" w:eastAsia="黑体" w:cs="Segoe UI"/>
          <w:color w:val="333333"/>
          <w:kern w:val="0"/>
          <w:sz w:val="32"/>
          <w:szCs w:val="32"/>
          <w:lang w:val="en-US" w:eastAsia="zh-CN"/>
        </w:rPr>
        <w:t>5</w:t>
      </w:r>
      <w:r>
        <w:rPr>
          <w:rFonts w:hint="eastAsia" w:ascii="黑体" w:hAnsi="黑体" w:eastAsia="黑体" w:cs="Segoe UI"/>
          <w:color w:val="333333"/>
          <w:kern w:val="0"/>
          <w:sz w:val="32"/>
          <w:szCs w:val="32"/>
        </w:rPr>
        <w:t>：</w:t>
      </w:r>
      <w:r>
        <w:rPr>
          <w:rFonts w:hint="eastAsia" w:ascii="黑体" w:hAnsi="黑体" w:eastAsia="黑体" w:cs="Segoe UI"/>
          <w:color w:val="333333"/>
          <w:kern w:val="0"/>
          <w:sz w:val="32"/>
          <w:szCs w:val="32"/>
          <w:lang w:val="en-US" w:eastAsia="zh-CN"/>
        </w:rPr>
        <w:t>无围标、串标行为</w:t>
      </w:r>
      <w:r>
        <w:rPr>
          <w:rFonts w:hint="eastAsia" w:ascii="黑体" w:hAnsi="黑体" w:eastAsia="黑体" w:cs="Segoe UI"/>
          <w:color w:val="333333"/>
          <w:kern w:val="0"/>
          <w:sz w:val="32"/>
          <w:szCs w:val="32"/>
        </w:rPr>
        <w:t>承诺书</w:t>
      </w:r>
    </w:p>
    <w:p>
      <w:pPr>
        <w:pStyle w:val="4"/>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76FFC"/>
    <w:rsid w:val="00080C40"/>
    <w:rsid w:val="00103907"/>
    <w:rsid w:val="00121D6F"/>
    <w:rsid w:val="001371D2"/>
    <w:rsid w:val="001931F2"/>
    <w:rsid w:val="00277086"/>
    <w:rsid w:val="002A38D8"/>
    <w:rsid w:val="002F0FB6"/>
    <w:rsid w:val="003323CD"/>
    <w:rsid w:val="0035116A"/>
    <w:rsid w:val="003F1242"/>
    <w:rsid w:val="004B734D"/>
    <w:rsid w:val="00504EE6"/>
    <w:rsid w:val="00517D8E"/>
    <w:rsid w:val="00546827"/>
    <w:rsid w:val="0067270F"/>
    <w:rsid w:val="006B0729"/>
    <w:rsid w:val="006C2B1B"/>
    <w:rsid w:val="00742E26"/>
    <w:rsid w:val="007477D8"/>
    <w:rsid w:val="007A3784"/>
    <w:rsid w:val="00821CEE"/>
    <w:rsid w:val="008E6C7C"/>
    <w:rsid w:val="00907B71"/>
    <w:rsid w:val="00991324"/>
    <w:rsid w:val="009B3CC5"/>
    <w:rsid w:val="00A3343D"/>
    <w:rsid w:val="00A41870"/>
    <w:rsid w:val="00AE739F"/>
    <w:rsid w:val="00AF16AE"/>
    <w:rsid w:val="00D03D08"/>
    <w:rsid w:val="00D11E4C"/>
    <w:rsid w:val="00D169F3"/>
    <w:rsid w:val="00D25A50"/>
    <w:rsid w:val="00D51242"/>
    <w:rsid w:val="00D52A20"/>
    <w:rsid w:val="00D946F0"/>
    <w:rsid w:val="00EB43BD"/>
    <w:rsid w:val="00EF14ED"/>
    <w:rsid w:val="00F27A92"/>
    <w:rsid w:val="00F81DDA"/>
    <w:rsid w:val="00F95593"/>
    <w:rsid w:val="0297033A"/>
    <w:rsid w:val="0BF25649"/>
    <w:rsid w:val="0C735125"/>
    <w:rsid w:val="0CDF66A4"/>
    <w:rsid w:val="102B2CF2"/>
    <w:rsid w:val="126E5199"/>
    <w:rsid w:val="140A6831"/>
    <w:rsid w:val="15036C04"/>
    <w:rsid w:val="17412D70"/>
    <w:rsid w:val="198155EA"/>
    <w:rsid w:val="1A9D0782"/>
    <w:rsid w:val="1ADB6CC8"/>
    <w:rsid w:val="1C961347"/>
    <w:rsid w:val="2066403F"/>
    <w:rsid w:val="222708D7"/>
    <w:rsid w:val="29526518"/>
    <w:rsid w:val="2EA40308"/>
    <w:rsid w:val="32546A03"/>
    <w:rsid w:val="32D7512C"/>
    <w:rsid w:val="34A41E6D"/>
    <w:rsid w:val="35035D24"/>
    <w:rsid w:val="35DB1070"/>
    <w:rsid w:val="37C75CEF"/>
    <w:rsid w:val="39FB1BB1"/>
    <w:rsid w:val="3AB8044E"/>
    <w:rsid w:val="3B9D0500"/>
    <w:rsid w:val="3DC26BB4"/>
    <w:rsid w:val="418D1149"/>
    <w:rsid w:val="426F5F12"/>
    <w:rsid w:val="47A479F1"/>
    <w:rsid w:val="49481025"/>
    <w:rsid w:val="4C9401E6"/>
    <w:rsid w:val="5A7E218A"/>
    <w:rsid w:val="5ADD58D7"/>
    <w:rsid w:val="609D5114"/>
    <w:rsid w:val="618202CB"/>
    <w:rsid w:val="6347479A"/>
    <w:rsid w:val="64A73ECF"/>
    <w:rsid w:val="65E20988"/>
    <w:rsid w:val="67255631"/>
    <w:rsid w:val="689263B0"/>
    <w:rsid w:val="6CCC3C3D"/>
    <w:rsid w:val="708A4DCD"/>
    <w:rsid w:val="70A91146"/>
    <w:rsid w:val="71C02113"/>
    <w:rsid w:val="72747E39"/>
    <w:rsid w:val="731D678C"/>
    <w:rsid w:val="75624D3C"/>
    <w:rsid w:val="78645C08"/>
    <w:rsid w:val="7E5C1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Body Text"/>
    <w:basedOn w:val="1"/>
    <w:next w:val="1"/>
    <w:unhideWhenUsed/>
    <w:qFormat/>
    <w:uiPriority w:val="99"/>
    <w:pPr>
      <w:spacing w:after="12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505</Words>
  <Characters>2885</Characters>
  <Lines>24</Lines>
  <Paragraphs>6</Paragraphs>
  <TotalTime>2</TotalTime>
  <ScaleCrop>false</ScaleCrop>
  <LinksUpToDate>false</LinksUpToDate>
  <CharactersWithSpaces>3384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2022-11-18T01:55:29Z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