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采购项目配置需求</w:t>
      </w:r>
    </w:p>
    <w:p>
      <w:pPr>
        <w:jc w:val="left"/>
        <w:rPr>
          <w:rFonts w:hint="eastAsia" w:ascii="宋体" w:hAnsi="宋体"/>
        </w:rPr>
      </w:pPr>
    </w:p>
    <w:tbl>
      <w:tblPr>
        <w:tblStyle w:val="6"/>
        <w:tblW w:w="9398" w:type="dxa"/>
        <w:tblInd w:w="0" w:type="dxa"/>
        <w:tblLayout w:type="fixed"/>
        <w:tblCellMar>
          <w:top w:w="0" w:type="dxa"/>
          <w:left w:w="108" w:type="dxa"/>
          <w:bottom w:w="0" w:type="dxa"/>
          <w:right w:w="108" w:type="dxa"/>
        </w:tblCellMar>
      </w:tblPr>
      <w:tblGrid>
        <w:gridCol w:w="699"/>
        <w:gridCol w:w="1499"/>
        <w:gridCol w:w="963"/>
        <w:gridCol w:w="6237"/>
      </w:tblGrid>
      <w:tr>
        <w:tblPrEx>
          <w:tblCellMar>
            <w:top w:w="0" w:type="dxa"/>
            <w:left w:w="108" w:type="dxa"/>
            <w:bottom w:w="0" w:type="dxa"/>
            <w:right w:w="108" w:type="dxa"/>
          </w:tblCellMar>
        </w:tblPrEx>
        <w:trPr>
          <w:trHeight w:val="636"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产品名称</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年度预计用量</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技术参数</w:t>
            </w:r>
          </w:p>
        </w:tc>
      </w:tr>
      <w:tr>
        <w:tblPrEx>
          <w:tblCellMar>
            <w:top w:w="0" w:type="dxa"/>
            <w:left w:w="108" w:type="dxa"/>
            <w:bottom w:w="0" w:type="dxa"/>
            <w:right w:w="108" w:type="dxa"/>
          </w:tblCellMar>
        </w:tblPrEx>
        <w:trPr>
          <w:trHeight w:val="1852"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14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铅衣分体成人套装</w:t>
            </w:r>
          </w:p>
          <w:p>
            <w:pPr>
              <w:widowControl/>
              <w:jc w:val="center"/>
              <w:rPr>
                <w:rFonts w:hint="eastAsia" w:ascii="仿宋" w:hAnsi="仿宋" w:eastAsia="仿宋" w:cs="宋体"/>
                <w:color w:val="000000"/>
                <w:kern w:val="0"/>
                <w:sz w:val="22"/>
              </w:rPr>
            </w:pP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3</w:t>
            </w:r>
          </w:p>
        </w:tc>
        <w:tc>
          <w:tcPr>
            <w:tcW w:w="62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1.铅当量：0.5mmpb  。</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2.尺寸：可定制</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3.材质：采用含铅材料制成，表面为牛津布材质，多种颜色可选。</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4.功能：X射线防护及其它射线防护。</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5.款式：上衣和下裙分离设计，腰部采用粘扣和腰带双重固定，可调节大小。</w:t>
            </w:r>
          </w:p>
        </w:tc>
      </w:tr>
      <w:tr>
        <w:tblPrEx>
          <w:tblCellMar>
            <w:top w:w="0" w:type="dxa"/>
            <w:left w:w="108" w:type="dxa"/>
            <w:bottom w:w="0" w:type="dxa"/>
            <w:right w:w="108" w:type="dxa"/>
          </w:tblCellMar>
        </w:tblPrEx>
        <w:trPr>
          <w:trHeight w:val="2202"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4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铅衣分体儿童套装</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1</w:t>
            </w:r>
          </w:p>
        </w:tc>
        <w:tc>
          <w:tcPr>
            <w:tcW w:w="62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1.铅当量：0.5mmpb  。</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2.尺寸：可定制</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3.材质：采用含铅材料制成，表面为牛津布材质，多种颜色可选。</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4.功能：X射线防护</w:t>
            </w:r>
            <w:bookmarkStart w:id="1" w:name="_GoBack"/>
            <w:bookmarkEnd w:id="1"/>
            <w:r>
              <w:rPr>
                <w:rFonts w:hint="eastAsia" w:ascii="仿宋" w:hAnsi="仿宋" w:eastAsia="仿宋" w:cs="宋体"/>
                <w:color w:val="000000"/>
                <w:kern w:val="0"/>
                <w:sz w:val="22"/>
              </w:rPr>
              <w:t>及其它射线防护。</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5.款式：上衣和下裙分离设计，腰部采用粘扣和腰带双重固定，可调节大小。</w:t>
            </w:r>
          </w:p>
        </w:tc>
      </w:tr>
      <w:tr>
        <w:tblPrEx>
          <w:tblCellMar>
            <w:top w:w="0" w:type="dxa"/>
            <w:left w:w="108" w:type="dxa"/>
            <w:bottom w:w="0" w:type="dxa"/>
            <w:right w:w="108" w:type="dxa"/>
          </w:tblCellMar>
        </w:tblPrEx>
        <w:trPr>
          <w:trHeight w:val="1602"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14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铅衣分体成人上衣</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2</w:t>
            </w:r>
          </w:p>
        </w:tc>
        <w:tc>
          <w:tcPr>
            <w:tcW w:w="62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 xml:space="preserve">1.铅当量：0.5mmpb  。 </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2.尺寸：可定制</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3.材质：采用含铅材料制成，表面为牛津布材质，多种颜色可选。</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4.功能：X射线防护及其它射线防护。</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5.款式：上衣腰部采用粘扣和腰带双重固定，可调节大小。</w:t>
            </w:r>
          </w:p>
        </w:tc>
      </w:tr>
      <w:tr>
        <w:tblPrEx>
          <w:tblCellMar>
            <w:top w:w="0" w:type="dxa"/>
            <w:left w:w="108" w:type="dxa"/>
            <w:bottom w:w="0" w:type="dxa"/>
            <w:right w:w="108" w:type="dxa"/>
          </w:tblCellMar>
        </w:tblPrEx>
        <w:trPr>
          <w:trHeight w:val="90"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149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铅帽</w:t>
            </w: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4</w:t>
            </w:r>
          </w:p>
        </w:tc>
        <w:tc>
          <w:tcPr>
            <w:tcW w:w="62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1.铅当量：0.5mmpb  。</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2.尺寸：整体周度≥600mm,配置魔术粘贴扣，可调节大小。</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 xml:space="preserve">3.材质：采用含铅材料制成，表面为牛津布材质，多种颜色可选。                                      </w:t>
            </w:r>
          </w:p>
        </w:tc>
      </w:tr>
      <w:tr>
        <w:tblPrEx>
          <w:tblCellMar>
            <w:top w:w="0" w:type="dxa"/>
            <w:left w:w="108" w:type="dxa"/>
            <w:bottom w:w="0" w:type="dxa"/>
            <w:right w:w="108" w:type="dxa"/>
          </w:tblCellMar>
        </w:tblPrEx>
        <w:trPr>
          <w:trHeight w:val="1565"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铅围脖</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1.铅当量：0.5mmpb  。</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2.尺寸：整体长度≥500mm,宽度50mm,配置魔术粘贴扣，可调节大小。</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3.材质：采用含铅材料制成，表面为牛津布材质，多种颜色可选。</w:t>
            </w:r>
          </w:p>
        </w:tc>
      </w:tr>
      <w:tr>
        <w:tblPrEx>
          <w:tblCellMar>
            <w:top w:w="0" w:type="dxa"/>
            <w:left w:w="108" w:type="dxa"/>
            <w:bottom w:w="0" w:type="dxa"/>
            <w:right w:w="108" w:type="dxa"/>
          </w:tblCellMar>
        </w:tblPrEx>
        <w:trPr>
          <w:trHeight w:val="339"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6</w:t>
            </w:r>
          </w:p>
          <w:p>
            <w:pPr>
              <w:widowControl/>
              <w:jc w:val="center"/>
              <w:rPr>
                <w:rFonts w:hint="eastAsia" w:ascii="仿宋" w:hAnsi="仿宋" w:eastAsia="仿宋" w:cs="宋体"/>
                <w:color w:val="000000"/>
                <w:kern w:val="0"/>
                <w:sz w:val="22"/>
                <w:lang w:val="en-US" w:eastAsia="zh-CN"/>
              </w:rPr>
            </w:pP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铅裙成人大件</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 xml:space="preserve">1.铅当量：0.5mmpb  。 </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2.尺寸：可定制</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3.材质：采用含铅材料制成，表面为牛津布材质，多种颜色可选。</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4.功能：X射线防护及其它射线防护。</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5.款式：上衣腰部采用粘扣和腰带双重固定，可调节大小。</w:t>
            </w:r>
          </w:p>
        </w:tc>
      </w:tr>
      <w:tr>
        <w:tblPrEx>
          <w:tblCellMar>
            <w:top w:w="0" w:type="dxa"/>
            <w:left w:w="108" w:type="dxa"/>
            <w:bottom w:w="0" w:type="dxa"/>
            <w:right w:w="108" w:type="dxa"/>
          </w:tblCellMar>
        </w:tblPrEx>
        <w:trPr>
          <w:trHeight w:val="1867"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7</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铅围裙成人</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 xml:space="preserve">1.铅当量：0.5mmpb  。 </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2.尺寸：可定制</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3.材质：采用含铅材料制成，表面为牛津布材质，多种颜色可选。</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4.功能：X射线防护及其它射线防护。</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5.款式：腰部采用粘扣和腰带双重固定，可调节大小。</w:t>
            </w:r>
          </w:p>
        </w:tc>
      </w:tr>
      <w:tr>
        <w:tblPrEx>
          <w:tblCellMar>
            <w:top w:w="0" w:type="dxa"/>
            <w:left w:w="108" w:type="dxa"/>
            <w:bottom w:w="0" w:type="dxa"/>
            <w:right w:w="108" w:type="dxa"/>
          </w:tblCellMar>
        </w:tblPrEx>
        <w:trPr>
          <w:trHeight w:val="990"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8</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铅眼镜</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 xml:space="preserve">1.铅当量：0.5mmpb  。 </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2.材质：采用含铅材料制成。</w:t>
            </w:r>
          </w:p>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3.功能：用于射线操作人员眼睛的防护。</w:t>
            </w:r>
          </w:p>
        </w:tc>
      </w:tr>
      <w:tr>
        <w:tblPrEx>
          <w:tblCellMar>
            <w:top w:w="0" w:type="dxa"/>
            <w:left w:w="108" w:type="dxa"/>
            <w:bottom w:w="0" w:type="dxa"/>
            <w:right w:w="108" w:type="dxa"/>
          </w:tblCellMar>
        </w:tblPrEx>
        <w:trPr>
          <w:trHeight w:val="1517" w:hRule="atLeast"/>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9</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升降胸片铅屏</w:t>
            </w:r>
          </w:p>
        </w:tc>
        <w:tc>
          <w:tcPr>
            <w:tcW w:w="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1.产品结构：防护屏风由支架、铅帘、底座等组成，底座配置万向轮。</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2.铅帘:尺寸≥600*350mm、600*450mm, 铅当量：0.5mmpb,采用含铅材料制成,表面为牛津布材质，多种颜色可选。</w:t>
            </w:r>
          </w:p>
          <w:p>
            <w:pPr>
              <w:widowControl/>
              <w:jc w:val="left"/>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3.上下防护帘可独立升降，满足不同身高和受检位置的防护。</w:t>
            </w:r>
          </w:p>
        </w:tc>
      </w:tr>
    </w:tbl>
    <w:p>
      <w:pPr>
        <w:widowControl/>
        <w:shd w:val="clear" w:color="auto" w:fill="FFFFFF"/>
        <w:spacing w:line="400" w:lineRule="exact"/>
        <w:jc w:val="left"/>
        <w:rPr>
          <w:rFonts w:ascii="Segoe UI" w:hAnsi="Segoe UI" w:eastAsia="宋体" w:cs="Segoe UI"/>
          <w:color w:val="333333"/>
          <w:kern w:val="0"/>
          <w:sz w:val="18"/>
          <w:szCs w:val="18"/>
        </w:rPr>
      </w:pP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spacing w:line="400" w:lineRule="exact"/>
        <w:rPr>
          <w:rFonts w:hint="eastAsia"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rPr>
        <w:t>1.</w:t>
      </w:r>
      <w:r>
        <w:rPr>
          <w:rFonts w:hint="eastAsia" w:ascii="仿宋" w:hAnsi="仿宋" w:eastAsia="仿宋" w:cs="Segoe UI"/>
          <w:color w:val="333333"/>
          <w:spacing w:val="8"/>
          <w:kern w:val="0"/>
          <w:sz w:val="28"/>
          <w:szCs w:val="28"/>
          <w:lang w:val="en-US" w:eastAsia="zh-CN"/>
        </w:rPr>
        <w:t>年度采购</w:t>
      </w:r>
      <w:r>
        <w:rPr>
          <w:rFonts w:hint="eastAsia" w:ascii="仿宋" w:hAnsi="仿宋" w:eastAsia="仿宋" w:cs="Segoe UI"/>
          <w:color w:val="333333"/>
          <w:spacing w:val="8"/>
          <w:kern w:val="0"/>
          <w:sz w:val="28"/>
          <w:szCs w:val="28"/>
        </w:rPr>
        <w:t>总预算：16450元；</w:t>
      </w:r>
    </w:p>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spacing w:line="400" w:lineRule="exact"/>
        <w:jc w:val="left"/>
        <w:rPr>
          <w:rFonts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rPr>
        <w:t>▲1.若同种产品有多种规格型号且涉及不同挂网流水号和挂网价格，则供应商分项报价，材料的最终计算单价以不同规格报价的均价为准。</w:t>
      </w:r>
    </w:p>
    <w:p>
      <w:pPr>
        <w:pStyle w:val="5"/>
        <w:shd w:val="clear" w:color="auto" w:fill="FFFFFF"/>
        <w:spacing w:before="0" w:beforeAutospacing="0" w:after="0" w:afterAutospacing="0" w:line="500" w:lineRule="exact"/>
        <w:rPr>
          <w:rFonts w:cs="Segoe UI"/>
          <w:color w:val="333333"/>
          <w:sz w:val="27"/>
          <w:szCs w:val="27"/>
        </w:rPr>
      </w:pPr>
      <w:r>
        <w:rPr>
          <w:rFonts w:hint="eastAsia" w:ascii="仿宋" w:hAnsi="仿宋" w:eastAsia="仿宋" w:cs="Segoe UI"/>
          <w:color w:val="333333"/>
          <w:spacing w:val="8"/>
          <w:sz w:val="28"/>
          <w:szCs w:val="28"/>
        </w:rPr>
        <w:t>▲2.挂网要求：</w:t>
      </w:r>
      <w:r>
        <w:rPr>
          <w:rFonts w:hint="eastAsia" w:ascii="仿宋" w:hAnsi="仿宋" w:eastAsia="仿宋"/>
          <w:color w:val="000000" w:themeColor="text1"/>
          <w:sz w:val="28"/>
        </w:rPr>
        <w:t>若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pPr>
        <w:jc w:val="left"/>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spacing w:line="400" w:lineRule="exact"/>
        <w:jc w:val="left"/>
        <w:rPr>
          <w:rFonts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rPr>
        <w:t>1.以上打▲号的参数为本次招标项目的实质性要求，不允许有负偏离。</w:t>
      </w:r>
    </w:p>
    <w:p>
      <w:pPr>
        <w:spacing w:line="400" w:lineRule="exact"/>
        <w:jc w:val="left"/>
        <w:rPr>
          <w:rFonts w:ascii="仿宋" w:hAnsi="仿宋" w:eastAsia="仿宋" w:cs="Segoe UI"/>
          <w:color w:val="333333"/>
          <w:spacing w:val="8"/>
          <w:kern w:val="0"/>
          <w:sz w:val="28"/>
          <w:szCs w:val="28"/>
        </w:rPr>
      </w:pPr>
      <w:r>
        <w:rPr>
          <w:rFonts w:hint="eastAsia" w:ascii="仿宋" w:hAnsi="仿宋" w:eastAsia="仿宋" w:cs="Segoe UI"/>
          <w:color w:val="333333"/>
          <w:spacing w:val="8"/>
          <w:kern w:val="0"/>
          <w:sz w:val="28"/>
          <w:szCs w:val="28"/>
        </w:rPr>
        <w:t>2.产品年度预计使用量供投标人参考，作为报价测算依据，不做其它用途使用。</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shd w:val="clear" w:color="auto" w:fill="FFFFFF"/>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shd w:val="clear" w:color="auto" w:fill="FFFFFF"/>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Segoe UI"/>
                <w:color w:val="000000"/>
                <w:kern w:val="0"/>
                <w:sz w:val="18"/>
                <w:szCs w:val="18"/>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rPr>
              <w:t>40%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rPr>
              <w:t>40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响应材料满足磋商文件要求且以响应总价最低的为评审基准价，其价格分为40分。其他供应商的价格分统一按照以下公式计算：价格分=(评审基准价／响应总价)×40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2.响应总价</w:t>
            </w:r>
          </w:p>
          <w:p>
            <w:pPr>
              <w:widowControl/>
              <w:wordWrap w:val="0"/>
              <w:spacing w:line="270" w:lineRule="atLeast"/>
              <w:jc w:val="left"/>
              <w:rPr>
                <w:rFonts w:ascii="仿宋" w:hAnsi="仿宋" w:eastAsia="仿宋" w:cs="Segoe UI"/>
                <w:kern w:val="0"/>
                <w:sz w:val="24"/>
                <w:szCs w:val="24"/>
              </w:rPr>
            </w:pPr>
            <w:r>
              <w:rPr>
                <w:rFonts w:hint="eastAsia" w:ascii="宋体" w:hAnsi="宋体" w:cs="宋体"/>
                <w:color w:val="000000"/>
                <w:kern w:val="0"/>
                <w:sz w:val="18"/>
                <w:szCs w:val="18"/>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idowControl/>
              <w:wordWrap w:val="0"/>
              <w:spacing w:line="270" w:lineRule="atLeast"/>
              <w:jc w:val="left"/>
              <w:rPr>
                <w:rFonts w:ascii="仿宋" w:hAnsi="仿宋" w:eastAsia="仿宋" w:cs="Segoe UI"/>
                <w:kern w:val="0"/>
                <w:sz w:val="24"/>
                <w:szCs w:val="24"/>
              </w:rPr>
            </w:pPr>
            <w:r>
              <w:rPr>
                <w:rFonts w:hint="eastAsia" w:ascii="宋体" w:hAnsi="宋体" w:cs="宋体"/>
                <w:color w:val="000000"/>
                <w:kern w:val="0"/>
                <w:sz w:val="18"/>
                <w:szCs w:val="18"/>
              </w:rPr>
              <w:t>2.响应单价为多种规格型号报价的平均价。</w:t>
            </w:r>
          </w:p>
        </w:tc>
      </w:tr>
      <w:tr>
        <w:tblPrEx>
          <w:shd w:val="clear" w:color="auto" w:fill="FFFFFF"/>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37</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37</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供应商完全符合磋商文件技术参数要求得</w:t>
            </w:r>
            <w:r>
              <w:rPr>
                <w:rFonts w:hint="eastAsia" w:ascii="宋体" w:hAnsi="宋体" w:cs="宋体"/>
                <w:color w:val="000000"/>
                <w:kern w:val="0"/>
                <w:sz w:val="18"/>
                <w:szCs w:val="18"/>
                <w:lang w:val="en-US" w:eastAsia="zh-CN"/>
              </w:rPr>
              <w:t>37</w:t>
            </w:r>
            <w:r>
              <w:rPr>
                <w:rFonts w:hint="eastAsia" w:ascii="宋体" w:hAnsi="宋体" w:cs="宋体"/>
                <w:color w:val="000000"/>
                <w:kern w:val="0"/>
                <w:sz w:val="18"/>
                <w:szCs w:val="18"/>
              </w:rPr>
              <w:t>分。技术参数不满足磋商文件要求（负偏离），一项扣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分，扣完为止。</w:t>
            </w:r>
          </w:p>
          <w:p>
            <w:pPr>
              <w:widowControl/>
              <w:wordWrap w:val="0"/>
              <w:spacing w:line="270" w:lineRule="atLeast"/>
              <w:jc w:val="left"/>
              <w:rPr>
                <w:rFonts w:ascii="仿宋" w:hAnsi="仿宋" w:eastAsia="仿宋" w:cs="Segoe UI"/>
                <w:kern w:val="0"/>
                <w:sz w:val="24"/>
                <w:szCs w:val="24"/>
              </w:rPr>
            </w:pPr>
            <w:r>
              <w:rPr>
                <w:rFonts w:hint="eastAsia" w:ascii="宋体" w:hAnsi="宋体" w:cs="宋体"/>
                <w:color w:val="000000"/>
                <w:kern w:val="0"/>
                <w:sz w:val="18"/>
                <w:szCs w:val="18"/>
              </w:rPr>
              <w:t>注：如技术指标在响应文件中未对应出现或在响应文件中存在自相矛盾之处或未提供的不得分。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kern w:val="0"/>
                <w:sz w:val="24"/>
                <w:szCs w:val="24"/>
              </w:rPr>
            </w:pP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eastAsia="宋体" w:cs="宋体"/>
                <w:color w:val="000000"/>
                <w:kern w:val="0"/>
                <w:sz w:val="18"/>
                <w:szCs w:val="18"/>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widowControl/>
              <w:wordWrap w:val="0"/>
              <w:spacing w:line="270" w:lineRule="atLeast"/>
              <w:jc w:val="center"/>
              <w:rPr>
                <w:rFonts w:ascii="仿宋" w:hAnsi="仿宋" w:eastAsia="仿宋" w:cs="Segoe UI"/>
                <w:kern w:val="0"/>
                <w:sz w:val="24"/>
                <w:szCs w:val="24"/>
              </w:rPr>
            </w:pPr>
            <w:r>
              <w:rPr>
                <w:rFonts w:hint="eastAsia" w:ascii="宋体" w:hAnsi="宋体" w:eastAsia="宋体" w:cs="宋体"/>
                <w:color w:val="000000"/>
                <w:kern w:val="0"/>
                <w:sz w:val="18"/>
                <w:szCs w:val="18"/>
              </w:rPr>
              <w:t>12%</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eastAsia="宋体" w:cs="宋体"/>
                <w:color w:val="000000"/>
                <w:kern w:val="0"/>
                <w:sz w:val="18"/>
                <w:szCs w:val="18"/>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kern w:val="0"/>
                <w:sz w:val="24"/>
                <w:szCs w:val="24"/>
              </w:rPr>
            </w:pPr>
            <w:r>
              <w:rPr>
                <w:rFonts w:hint="eastAsia" w:ascii="宋体" w:hAnsi="宋体" w:eastAsia="宋体" w:cs="宋体"/>
                <w:color w:val="000000"/>
                <w:kern w:val="0"/>
                <w:sz w:val="18"/>
                <w:szCs w:val="18"/>
              </w:rPr>
              <w:t>提供投标产品样品，根据样品的外观、材质、性能、是否符合临床需求等综合评定，优9-12分；良得5-8分；差得1-4分；未提供样品、样品LOGO等信息遮挡不全的，不得分。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kern w:val="0"/>
                <w:sz w:val="24"/>
                <w:szCs w:val="24"/>
              </w:rPr>
            </w:pPr>
            <w:r>
              <w:rPr>
                <w:rFonts w:hint="eastAsia" w:ascii="宋体" w:hAnsi="宋体" w:eastAsia="宋体" w:cs="宋体"/>
                <w:b/>
                <w:bCs/>
                <w:color w:val="000000"/>
                <w:kern w:val="0"/>
                <w:sz w:val="18"/>
                <w:szCs w:val="18"/>
              </w:rPr>
              <w:t>提供的产品样</w:t>
            </w:r>
            <w:r>
              <w:rPr>
                <w:rFonts w:hint="eastAsia" w:ascii="宋体" w:hAnsi="宋体" w:eastAsia="宋体" w:cs="宋体"/>
                <w:b/>
                <w:bCs/>
                <w:color w:val="000000"/>
                <w:kern w:val="0"/>
                <w:sz w:val="18"/>
                <w:szCs w:val="18"/>
                <w:lang w:val="en-US" w:eastAsia="zh-CN"/>
              </w:rPr>
              <w:t>品包含但不限于</w:t>
            </w:r>
            <w:r>
              <w:rPr>
                <w:rFonts w:hint="eastAsia" w:ascii="宋体" w:hAnsi="宋体" w:eastAsia="宋体" w:cs="宋体"/>
                <w:b/>
                <w:bCs/>
                <w:color w:val="000000"/>
                <w:kern w:val="0"/>
                <w:sz w:val="18"/>
                <w:szCs w:val="18"/>
              </w:rPr>
              <w:t>铅衣分体儿童套装。</w:t>
            </w:r>
          </w:p>
        </w:tc>
      </w:tr>
      <w:tr>
        <w:tblPrEx>
          <w:shd w:val="clear" w:color="auto" w:fill="FFFFFF"/>
          <w:tblCellMar>
            <w:top w:w="0" w:type="dxa"/>
            <w:left w:w="0" w:type="dxa"/>
            <w:bottom w:w="0" w:type="dxa"/>
            <w:right w:w="0" w:type="dxa"/>
          </w:tblCellMar>
        </w:tblPrEx>
        <w:trPr>
          <w:trHeight w:val="1680"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4</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ascii="仿宋" w:hAnsi="仿宋" w:eastAsia="仿宋" w:cs="Segoe UI"/>
                <w:kern w:val="0"/>
                <w:sz w:val="24"/>
                <w:szCs w:val="24"/>
              </w:rPr>
            </w:pPr>
            <w:r>
              <w:rPr>
                <w:rFonts w:hint="eastAsia" w:ascii="宋体" w:hAnsi="宋体" w:cs="宋体"/>
                <w:color w:val="000000"/>
                <w:kern w:val="0"/>
                <w:sz w:val="18"/>
                <w:szCs w:val="18"/>
              </w:rPr>
              <w:t>业绩</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5</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提供响应产品2019年1月1日以来国内三甲医疗机构业绩证明，每提供1个业绩得1分，最多得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p>
            <w:pPr>
              <w:adjustRightInd w:val="0"/>
              <w:spacing w:line="400" w:lineRule="exact"/>
              <w:jc w:val="left"/>
              <w:rPr>
                <w:rFonts w:ascii="仿宋" w:hAnsi="仿宋" w:eastAsia="仿宋" w:cs="Segoe UI"/>
                <w:kern w:val="0"/>
                <w:sz w:val="24"/>
                <w:szCs w:val="24"/>
              </w:rPr>
            </w:pPr>
            <w:r>
              <w:rPr>
                <w:rFonts w:hint="eastAsia" w:ascii="宋体" w:hAnsi="宋体" w:cs="宋体"/>
                <w:color w:val="000000"/>
                <w:kern w:val="0"/>
                <w:sz w:val="18"/>
                <w:szCs w:val="18"/>
              </w:rPr>
              <w:t>注：提供销售采购合同或发票复印件加盖投标人公章。非三甲医疗机构业绩证明请勿提供。</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以下材料均可作为依据：</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1.合同复印件；</w:t>
            </w:r>
          </w:p>
          <w:p>
            <w:pPr>
              <w:adjustRightInd w:val="0"/>
              <w:spacing w:line="400" w:lineRule="exact"/>
              <w:jc w:val="left"/>
              <w:rPr>
                <w:rFonts w:ascii="仿宋" w:hAnsi="仿宋" w:eastAsia="仿宋" w:cs="Segoe UI"/>
                <w:kern w:val="0"/>
                <w:sz w:val="24"/>
                <w:szCs w:val="24"/>
              </w:rPr>
            </w:pPr>
            <w:r>
              <w:rPr>
                <w:rFonts w:hint="eastAsia" w:ascii="宋体" w:hAnsi="宋体" w:eastAsia="宋体" w:cs="宋体"/>
                <w:color w:val="000000"/>
                <w:kern w:val="0"/>
                <w:sz w:val="18"/>
                <w:szCs w:val="18"/>
              </w:rPr>
              <w:t>2.发票复印件（若发票复印件上无产品明细则需附销货清单）</w:t>
            </w:r>
            <w:r>
              <w:rPr>
                <w:rFonts w:hint="eastAsia" w:ascii="宋体" w:hAnsi="宋体" w:cs="宋体"/>
                <w:color w:val="000000"/>
                <w:kern w:val="0"/>
                <w:sz w:val="18"/>
                <w:szCs w:val="18"/>
              </w:rPr>
              <w:t>；</w:t>
            </w:r>
          </w:p>
        </w:tc>
      </w:tr>
      <w:tr>
        <w:tblPrEx>
          <w:shd w:val="clear" w:color="auto" w:fill="FFFFFF"/>
          <w:tblCellMar>
            <w:top w:w="0" w:type="dxa"/>
            <w:left w:w="0" w:type="dxa"/>
            <w:bottom w:w="0" w:type="dxa"/>
            <w:right w:w="0" w:type="dxa"/>
          </w:tblCellMar>
        </w:tblPrEx>
        <w:trPr>
          <w:trHeight w:val="799" w:hRule="atLeast"/>
        </w:trPr>
        <w:tc>
          <w:tcPr>
            <w:tcW w:w="532"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5</w:t>
            </w:r>
          </w:p>
        </w:tc>
        <w:tc>
          <w:tcPr>
            <w:tcW w:w="99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仿宋" w:hAnsi="仿宋" w:eastAsia="仿宋" w:cs="Segoe UI"/>
                <w:kern w:val="0"/>
                <w:sz w:val="24"/>
                <w:szCs w:val="24"/>
              </w:rPr>
            </w:pPr>
            <w:r>
              <w:rPr>
                <w:rFonts w:hint="eastAsia" w:ascii="宋体" w:hAnsi="宋体" w:cs="宋体"/>
                <w:color w:val="000000"/>
                <w:kern w:val="0"/>
                <w:sz w:val="18"/>
                <w:szCs w:val="18"/>
                <w:lang w:val="en-US" w:eastAsia="zh-CN"/>
              </w:rPr>
              <w:t>6</w:t>
            </w:r>
          </w:p>
        </w:tc>
        <w:tc>
          <w:tcPr>
            <w:tcW w:w="4394"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分，每缺少一项的扣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分，每有一项存在内容缺陷扣1分，扣完为止。</w:t>
            </w:r>
          </w:p>
          <w:p>
            <w:pPr>
              <w:adjustRightInd w:val="0"/>
              <w:spacing w:line="400" w:lineRule="exact"/>
              <w:jc w:val="left"/>
              <w:rPr>
                <w:rFonts w:ascii="仿宋" w:hAnsi="仿宋" w:eastAsia="仿宋" w:cs="Segoe UI"/>
                <w:kern w:val="0"/>
                <w:sz w:val="24"/>
                <w:szCs w:val="24"/>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仿宋" w:hAnsi="仿宋" w:eastAsia="仿宋" w:cs="Segoe UI"/>
                <w:kern w:val="0"/>
                <w:sz w:val="24"/>
                <w:szCs w:val="24"/>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3"/>
        <w:gridCol w:w="3"/>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gridSpan w:val="2"/>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r>
              <w:rPr>
                <w:rFonts w:hint="eastAsia" w:ascii="仿宋_GB2312" w:hAnsi="Segoe UI" w:eastAsia="仿宋_GB2312" w:cs="Segoe UI"/>
                <w:color w:val="333333"/>
                <w:kern w:val="0"/>
                <w:sz w:val="22"/>
                <w:szCs w:val="22"/>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rPr>
              <w:t>铅衣分体成人套装</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3</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r>
              <w:rPr>
                <w:rFonts w:hint="eastAsia" w:ascii="仿宋_GB2312" w:hAnsi="Segoe UI" w:eastAsia="仿宋_GB2312" w:cs="Segoe UI"/>
                <w:color w:val="333333"/>
                <w:kern w:val="0"/>
                <w:sz w:val="22"/>
                <w:szCs w:val="22"/>
              </w:rPr>
              <w:t>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rPr>
              <w:t>铅衣分体儿童套装</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1</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r>
              <w:rPr>
                <w:rFonts w:hint="eastAsia" w:ascii="仿宋_GB2312" w:hAnsi="Segoe UI" w:eastAsia="仿宋_GB2312" w:cs="Segoe UI"/>
                <w:color w:val="333333"/>
                <w:kern w:val="0"/>
                <w:sz w:val="22"/>
                <w:szCs w:val="22"/>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rPr>
              <w:t>铅衣分体成人上衣</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2</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shd w:val="clear" w:color="auto" w:fill="FFFFFF"/>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r>
              <w:rPr>
                <w:rFonts w:hint="eastAsia" w:ascii="仿宋_GB2312" w:hAnsi="Segoe UI" w:eastAsia="仿宋_GB2312" w:cs="Segoe UI"/>
                <w:color w:val="333333"/>
                <w:kern w:val="0"/>
                <w:sz w:val="22"/>
                <w:szCs w:val="22"/>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rPr>
              <w:t>铅帽</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default"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4</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铅围脖</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2</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shd w:val="clear" w:color="auto" w:fill="FFFFFF"/>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铅裙成人大件</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1</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shd w:val="clear" w:color="auto" w:fill="FFFFFF"/>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铅围裙成人</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default"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1</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shd w:val="clear" w:color="auto" w:fill="FFFFFF"/>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铅眼镜</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3</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升降胸片铅屏</w:t>
            </w: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36" w:type="dxa"/>
            <w:gridSpan w:val="2"/>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lang w:val="en-US" w:eastAsia="zh-CN"/>
              </w:rPr>
            </w:pPr>
            <w:r>
              <w:rPr>
                <w:rFonts w:hint="eastAsia" w:ascii="仿宋_GB2312" w:hAnsi="Segoe UI" w:eastAsia="仿宋_GB2312" w:cs="Segoe UI"/>
                <w:color w:val="333333"/>
                <w:kern w:val="0"/>
                <w:sz w:val="22"/>
                <w:szCs w:val="22"/>
                <w:lang w:val="en-US" w:eastAsia="zh-CN"/>
              </w:rPr>
              <w:t>1</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hint="eastAsia" w:ascii="仿宋_GB2312" w:hAnsi="Segoe UI" w:eastAsia="仿宋_GB2312" w:cs="Segoe UI"/>
                <w:color w:val="333333"/>
                <w:kern w:val="0"/>
                <w:sz w:val="22"/>
                <w:szCs w:val="22"/>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2"/>
                <w:szCs w:val="22"/>
              </w:rPr>
            </w:pPr>
          </w:p>
        </w:tc>
      </w:tr>
      <w:tr>
        <w:tblPrEx>
          <w:tblCellMar>
            <w:top w:w="0" w:type="dxa"/>
            <w:left w:w="0" w:type="dxa"/>
            <w:bottom w:w="0" w:type="dxa"/>
            <w:right w:w="0" w:type="dxa"/>
          </w:tblCellMar>
        </w:tblPrEx>
        <w:trPr>
          <w:trHeight w:val="768" w:hRule="atLeast"/>
        </w:trPr>
        <w:tc>
          <w:tcPr>
            <w:tcW w:w="7346" w:type="dxa"/>
            <w:gridSpan w:val="8"/>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 w:hAnsi="仿宋" w:eastAsia="仿宋" w:cs="宋体"/>
                <w:color w:val="000000"/>
                <w:kern w:val="0"/>
                <w:sz w:val="24"/>
              </w:rPr>
              <w:t>成交总价（元）</w:t>
            </w:r>
          </w:p>
        </w:tc>
        <w:tc>
          <w:tcPr>
            <w:tcW w:w="1930"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6240"/>
    <w:multiLevelType w:val="singleLevel"/>
    <w:tmpl w:val="21C962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118C186F"/>
    <w:rsid w:val="12860575"/>
    <w:rsid w:val="22070E48"/>
    <w:rsid w:val="27597FDD"/>
    <w:rsid w:val="4379589C"/>
    <w:rsid w:val="508F32E4"/>
    <w:rsid w:val="6074420F"/>
    <w:rsid w:val="63A3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2</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2022-03-22T08:02:00Z</cp:lastPrinted>
  <dcterms:modified xsi:type="dcterms:W3CDTF">2022-12-05T03:24:46Z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