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黑体" w:hAnsi="黑体" w:eastAsia="黑体" w:cs="Segoe UI"/>
          <w:color w:val="333333"/>
          <w:kern w:val="0"/>
          <w:sz w:val="32"/>
          <w:szCs w:val="32"/>
        </w:rPr>
      </w:pPr>
      <w:r>
        <w:rPr>
          <w:rFonts w:hint="eastAsia" w:ascii="黑体" w:hAnsi="黑体" w:eastAsia="黑体" w:cs="Segoe UI"/>
          <w:color w:val="333333"/>
          <w:kern w:val="0"/>
          <w:sz w:val="32"/>
          <w:szCs w:val="32"/>
        </w:rPr>
        <w:t>附件1：</w:t>
      </w:r>
    </w:p>
    <w:p>
      <w:pPr>
        <w:widowControl/>
        <w:shd w:val="clear" w:color="auto" w:fill="FFFFFF"/>
        <w:spacing w:line="400" w:lineRule="exact"/>
        <w:jc w:val="left"/>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（一）采购项目配置需求</w:t>
      </w:r>
    </w:p>
    <w:tbl>
      <w:tblPr>
        <w:tblStyle w:val="6"/>
        <w:tblpPr w:leftFromText="180" w:rightFromText="180" w:vertAnchor="text" w:horzAnchor="page" w:tblpX="1779" w:tblpY="415"/>
        <w:tblOverlap w:val="never"/>
        <w:tblW w:w="9124" w:type="dxa"/>
        <w:tblInd w:w="0" w:type="dxa"/>
        <w:tblLayout w:type="fixed"/>
        <w:tblCellMar>
          <w:top w:w="0" w:type="dxa"/>
          <w:left w:w="108" w:type="dxa"/>
          <w:bottom w:w="0" w:type="dxa"/>
          <w:right w:w="108" w:type="dxa"/>
        </w:tblCellMar>
      </w:tblPr>
      <w:tblGrid>
        <w:gridCol w:w="733"/>
        <w:gridCol w:w="1717"/>
        <w:gridCol w:w="1733"/>
        <w:gridCol w:w="4941"/>
      </w:tblGrid>
      <w:tr>
        <w:tblPrEx>
          <w:tblCellMar>
            <w:top w:w="0" w:type="dxa"/>
            <w:left w:w="108" w:type="dxa"/>
            <w:bottom w:w="0" w:type="dxa"/>
            <w:right w:w="108" w:type="dxa"/>
          </w:tblCellMar>
        </w:tblPrEx>
        <w:trPr>
          <w:trHeight w:val="585" w:hRule="atLeast"/>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17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产品名称</w:t>
            </w:r>
          </w:p>
        </w:tc>
        <w:tc>
          <w:tcPr>
            <w:tcW w:w="17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年度预计用量(个)</w:t>
            </w:r>
          </w:p>
        </w:tc>
        <w:tc>
          <w:tcPr>
            <w:tcW w:w="49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技术参数</w:t>
            </w:r>
          </w:p>
        </w:tc>
      </w:tr>
      <w:tr>
        <w:tblPrEx>
          <w:tblCellMar>
            <w:top w:w="0" w:type="dxa"/>
            <w:left w:w="108" w:type="dxa"/>
            <w:bottom w:w="0" w:type="dxa"/>
            <w:right w:w="108" w:type="dxa"/>
          </w:tblCellMar>
        </w:tblPrEx>
        <w:trPr>
          <w:trHeight w:val="1158" w:hRule="atLeast"/>
        </w:trPr>
        <w:tc>
          <w:tcPr>
            <w:tcW w:w="7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17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含吲哚美辛宫内节育器</w:t>
            </w:r>
          </w:p>
        </w:tc>
        <w:tc>
          <w:tcPr>
            <w:tcW w:w="1733"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80</w:t>
            </w:r>
          </w:p>
        </w:tc>
        <w:tc>
          <w:tcPr>
            <w:tcW w:w="494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▲1.产品含吲哚美辛药条。</w:t>
            </w:r>
          </w:p>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2.</w:t>
            </w:r>
            <w:r>
              <w:rPr>
                <w:rFonts w:hint="eastAsia" w:ascii="仿宋" w:hAnsi="仿宋" w:eastAsia="仿宋" w:cs="宋体"/>
                <w:color w:val="000000"/>
                <w:kern w:val="0"/>
                <w:sz w:val="22"/>
              </w:rPr>
              <w:t>产品形状为γ型。</w:t>
            </w:r>
          </w:p>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3.</w:t>
            </w:r>
            <w:r>
              <w:rPr>
                <w:rFonts w:hint="eastAsia" w:ascii="仿宋" w:hAnsi="仿宋" w:eastAsia="仿宋" w:cs="宋体"/>
                <w:color w:val="000000"/>
                <w:kern w:val="0"/>
                <w:sz w:val="22"/>
              </w:rPr>
              <w:t>产品由不锈钢丝、无氧铜丝、记忆合金</w:t>
            </w:r>
            <w:r>
              <w:rPr>
                <w:rFonts w:hint="eastAsia" w:ascii="仿宋" w:hAnsi="仿宋" w:eastAsia="仿宋" w:cs="宋体"/>
                <w:color w:val="000000"/>
                <w:kern w:val="0"/>
                <w:sz w:val="22"/>
                <w:lang w:val="en-US" w:eastAsia="zh-CN"/>
              </w:rPr>
              <w:t>材料</w:t>
            </w:r>
            <w:r>
              <w:rPr>
                <w:rFonts w:hint="eastAsia" w:ascii="仿宋" w:hAnsi="仿宋" w:eastAsia="仿宋" w:cs="宋体"/>
                <w:color w:val="000000"/>
                <w:kern w:val="0"/>
                <w:sz w:val="22"/>
              </w:rPr>
              <w:t>制成。</w:t>
            </w:r>
          </w:p>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4.</w:t>
            </w:r>
            <w:r>
              <w:rPr>
                <w:rFonts w:hint="eastAsia" w:ascii="仿宋" w:hAnsi="仿宋" w:eastAsia="仿宋" w:cs="宋体"/>
                <w:color w:val="000000"/>
                <w:kern w:val="0"/>
                <w:sz w:val="22"/>
              </w:rPr>
              <w:t>产品无尾丝。</w:t>
            </w:r>
          </w:p>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5.</w:t>
            </w:r>
            <w:r>
              <w:rPr>
                <w:rFonts w:hint="eastAsia" w:ascii="仿宋" w:hAnsi="仿宋" w:eastAsia="仿宋" w:cs="宋体"/>
                <w:color w:val="000000"/>
                <w:kern w:val="0"/>
                <w:sz w:val="22"/>
              </w:rPr>
              <w:t>产品配套使用的送环杆有刻度标识。</w:t>
            </w:r>
          </w:p>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6.产品为无菌物品，一次性使用。</w:t>
            </w:r>
          </w:p>
        </w:tc>
      </w:tr>
    </w:tbl>
    <w:p>
      <w:pPr>
        <w:widowControl/>
        <w:shd w:val="clear" w:color="auto" w:fill="FFFFFF"/>
        <w:spacing w:line="400" w:lineRule="exact"/>
        <w:jc w:val="left"/>
        <w:rPr>
          <w:rFonts w:ascii="Segoe UI" w:hAnsi="Segoe UI" w:eastAsia="宋体" w:cs="Segoe UI"/>
          <w:color w:val="333333"/>
          <w:kern w:val="0"/>
          <w:sz w:val="18"/>
          <w:szCs w:val="18"/>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（二）采购预算</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年度</w:t>
      </w:r>
      <w:r>
        <w:rPr>
          <w:rFonts w:hint="eastAsia" w:ascii="仿宋" w:hAnsi="仿宋" w:eastAsia="仿宋" w:cs="宋体"/>
          <w:color w:val="000000"/>
          <w:kern w:val="0"/>
          <w:sz w:val="28"/>
          <w:szCs w:val="28"/>
        </w:rPr>
        <w:t>预算总金额：</w:t>
      </w:r>
      <w:r>
        <w:rPr>
          <w:rFonts w:hint="eastAsia" w:ascii="仿宋" w:hAnsi="仿宋" w:eastAsia="仿宋" w:cs="宋体"/>
          <w:color w:val="000000"/>
          <w:kern w:val="0"/>
          <w:sz w:val="28"/>
          <w:szCs w:val="28"/>
          <w:lang w:val="en-US" w:eastAsia="zh-CN"/>
        </w:rPr>
        <w:t>40000</w:t>
      </w:r>
      <w:r>
        <w:rPr>
          <w:rFonts w:hint="eastAsia" w:ascii="仿宋" w:hAnsi="仿宋" w:eastAsia="仿宋" w:cs="宋体"/>
          <w:color w:val="000000"/>
          <w:kern w:val="0"/>
          <w:sz w:val="28"/>
          <w:szCs w:val="28"/>
        </w:rPr>
        <w:t>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（三）商务要求：</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1.以上打▲号的技术参数为本次采购项目的实质性要求，不允许有负偏离。</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2.若产品有多种规格型号且价格不同，投标人应将所有挂网型号分项报价；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3.投标产品属于国家医疗保障局发布的《医保医用耗材分类与代码》目录且具有医疗器械注册证的全部医用耗材（不含一类医疗器械）的，必须为四川省药械集中采购及医药价格监管平台挂网产品，并提供产品挂网商品代码、医保编码。</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 xml:space="preserve">（三）备注: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1.产品年度预计使用量供投标人参考，作为报价测算依据，不做其它用途使用。</w:t>
      </w: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6"/>
        <w:tblW w:w="9180" w:type="dxa"/>
        <w:tblInd w:w="0" w:type="dxa"/>
        <w:shd w:val="clear" w:color="auto" w:fill="FFFFFF"/>
        <w:tblLayout w:type="autofit"/>
        <w:tblCellMar>
          <w:top w:w="0" w:type="dxa"/>
          <w:left w:w="0" w:type="dxa"/>
          <w:bottom w:w="0" w:type="dxa"/>
          <w:right w:w="0" w:type="dxa"/>
        </w:tblCellMar>
      </w:tblPr>
      <w:tblGrid>
        <w:gridCol w:w="532"/>
        <w:gridCol w:w="994"/>
        <w:gridCol w:w="567"/>
        <w:gridCol w:w="4394"/>
        <w:gridCol w:w="2693"/>
      </w:tblGrid>
      <w:tr>
        <w:tblPrEx>
          <w:tblCellMar>
            <w:top w:w="0" w:type="dxa"/>
            <w:left w:w="0" w:type="dxa"/>
            <w:bottom w:w="0" w:type="dxa"/>
            <w:right w:w="0" w:type="dxa"/>
          </w:tblCellMar>
        </w:tblPrEx>
        <w:trPr>
          <w:trHeight w:val="298" w:hRule="atLeast"/>
        </w:trPr>
        <w:tc>
          <w:tcPr>
            <w:tcW w:w="53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 w:val="18"/>
                <w:szCs w:val="18"/>
              </w:rPr>
            </w:pPr>
            <w:r>
              <w:rPr>
                <w:rFonts w:hint="eastAsia" w:ascii="仿宋" w:hAnsi="仿宋" w:eastAsia="仿宋" w:cs="Segoe UI"/>
                <w:b/>
                <w:color w:val="333333"/>
                <w:kern w:val="0"/>
                <w:sz w:val="24"/>
                <w:szCs w:val="24"/>
              </w:rPr>
              <w:t>序号</w:t>
            </w:r>
          </w:p>
        </w:tc>
        <w:tc>
          <w:tcPr>
            <w:tcW w:w="99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left"/>
              <w:rPr>
                <w:rFonts w:ascii="仿宋" w:hAnsi="仿宋" w:eastAsia="仿宋" w:cs="Segoe UI"/>
                <w:b/>
                <w:color w:val="333333"/>
                <w:kern w:val="0"/>
                <w:sz w:val="18"/>
                <w:szCs w:val="18"/>
              </w:rPr>
            </w:pPr>
            <w:r>
              <w:rPr>
                <w:rFonts w:hint="eastAsia" w:ascii="仿宋" w:hAnsi="仿宋" w:eastAsia="仿宋" w:cs="Segoe UI"/>
                <w:b/>
                <w:color w:val="333333"/>
                <w:kern w:val="0"/>
                <w:sz w:val="24"/>
                <w:szCs w:val="24"/>
              </w:rPr>
              <w:t>评分因素</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 w:val="18"/>
                <w:szCs w:val="18"/>
              </w:rPr>
            </w:pPr>
            <w:r>
              <w:rPr>
                <w:rFonts w:hint="eastAsia" w:ascii="仿宋" w:hAnsi="仿宋" w:eastAsia="仿宋" w:cs="Segoe UI"/>
                <w:b/>
                <w:color w:val="333333"/>
                <w:kern w:val="0"/>
                <w:sz w:val="24"/>
                <w:szCs w:val="24"/>
              </w:rPr>
              <w:t>分值</w:t>
            </w:r>
          </w:p>
        </w:tc>
        <w:tc>
          <w:tcPr>
            <w:tcW w:w="439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 w:val="18"/>
                <w:szCs w:val="18"/>
              </w:rPr>
            </w:pPr>
            <w:r>
              <w:rPr>
                <w:rFonts w:hint="eastAsia" w:ascii="仿宋" w:hAnsi="仿宋" w:eastAsia="仿宋" w:cs="Segoe UI"/>
                <w:b/>
                <w:color w:val="333333"/>
                <w:kern w:val="0"/>
                <w:sz w:val="24"/>
                <w:szCs w:val="24"/>
              </w:rPr>
              <w:t>评分标准</w:t>
            </w:r>
          </w:p>
        </w:tc>
        <w:tc>
          <w:tcPr>
            <w:tcW w:w="269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 w:val="18"/>
                <w:szCs w:val="18"/>
              </w:rPr>
            </w:pPr>
            <w:r>
              <w:rPr>
                <w:rFonts w:hint="eastAsia" w:ascii="仿宋" w:hAnsi="仿宋" w:eastAsia="仿宋" w:cs="Segoe UI"/>
                <w:b/>
                <w:color w:val="333333"/>
                <w:kern w:val="0"/>
                <w:sz w:val="24"/>
                <w:szCs w:val="24"/>
              </w:rPr>
              <w:t>说</w:t>
            </w:r>
            <w:r>
              <w:rPr>
                <w:rFonts w:hint="eastAsia" w:eastAsia="仿宋" w:cs="Segoe UI" w:asciiTheme="minorEastAsia" w:hAnsiTheme="minorEastAsia"/>
                <w:b/>
                <w:color w:val="333333"/>
                <w:kern w:val="0"/>
                <w:sz w:val="24"/>
                <w:szCs w:val="24"/>
              </w:rPr>
              <w:t xml:space="preserve">  </w:t>
            </w:r>
            <w:r>
              <w:rPr>
                <w:rFonts w:hint="eastAsia" w:ascii="仿宋" w:hAnsi="仿宋" w:eastAsia="仿宋" w:cs="Segoe UI"/>
                <w:b/>
                <w:color w:val="333333"/>
                <w:kern w:val="0"/>
                <w:sz w:val="24"/>
                <w:szCs w:val="24"/>
              </w:rPr>
              <w:t>明</w:t>
            </w:r>
          </w:p>
        </w:tc>
      </w:tr>
      <w:tr>
        <w:tblPrEx>
          <w:shd w:val="clear" w:color="auto" w:fill="FFFFFF"/>
          <w:tblCellMar>
            <w:top w:w="0" w:type="dxa"/>
            <w:left w:w="0" w:type="dxa"/>
            <w:bottom w:w="0" w:type="dxa"/>
            <w:right w:w="0" w:type="dxa"/>
          </w:tblCellMar>
        </w:tblPrEx>
        <w:trPr>
          <w:trHeight w:val="1599" w:hRule="atLeast"/>
        </w:trPr>
        <w:tc>
          <w:tcPr>
            <w:tcW w:w="5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报价</w:t>
            </w:r>
          </w:p>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30%</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30</w:t>
            </w:r>
          </w:p>
        </w:tc>
        <w:tc>
          <w:tcPr>
            <w:tcW w:w="43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1.价格分：</w:t>
            </w:r>
          </w:p>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响应材料满足磋商文件要求且以响应总价最低的为评审基准价，其价格分为30分。其他供应商的价格分统一按照以下公式计算：价格分=(评审基准价／响应总价)×30</w:t>
            </w:r>
          </w:p>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2.响应总价</w:t>
            </w:r>
          </w:p>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响应总价=各项材料响应单价*预估年度用量之和</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1.若同种产品有多种规格型号且涉及不同报价，供应商应全部报价；</w:t>
            </w:r>
          </w:p>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2.响应单价为多种规格型号报价的平均价。</w:t>
            </w:r>
          </w:p>
        </w:tc>
      </w:tr>
      <w:tr>
        <w:tblPrEx>
          <w:tblCellMar>
            <w:top w:w="0" w:type="dxa"/>
            <w:left w:w="0" w:type="dxa"/>
            <w:bottom w:w="0" w:type="dxa"/>
            <w:right w:w="0" w:type="dxa"/>
          </w:tblCellMar>
        </w:tblPrEx>
        <w:trPr>
          <w:trHeight w:val="955" w:hRule="atLeast"/>
        </w:trPr>
        <w:tc>
          <w:tcPr>
            <w:tcW w:w="5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技术指标</w:t>
            </w:r>
          </w:p>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48%</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48</w:t>
            </w:r>
          </w:p>
        </w:tc>
        <w:tc>
          <w:tcPr>
            <w:tcW w:w="43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供应商完全符合磋商文件技术参数要求得48分。技术参数不满足磋商文件要求（负偏离），一项扣8分，扣完为止。</w:t>
            </w:r>
          </w:p>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注：如技术指标在响应文件中未对应出现或在响应文件中存在自相矛盾之处或未提供的不得分。</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hint="eastAsia" w:ascii="仿宋" w:hAnsi="仿宋" w:eastAsia="仿宋" w:cs="宋体"/>
                <w:color w:val="000000"/>
                <w:kern w:val="0"/>
                <w:sz w:val="22"/>
              </w:rPr>
            </w:pPr>
          </w:p>
        </w:tc>
      </w:tr>
      <w:tr>
        <w:tblPrEx>
          <w:shd w:val="clear" w:color="auto" w:fill="FFFFFF"/>
          <w:tblCellMar>
            <w:top w:w="0" w:type="dxa"/>
            <w:left w:w="0" w:type="dxa"/>
            <w:bottom w:w="0" w:type="dxa"/>
            <w:right w:w="0" w:type="dxa"/>
          </w:tblCellMar>
        </w:tblPrEx>
        <w:trPr>
          <w:trHeight w:val="1395" w:hRule="atLeast"/>
        </w:trPr>
        <w:tc>
          <w:tcPr>
            <w:tcW w:w="5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3</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业绩10%</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10</w:t>
            </w:r>
          </w:p>
        </w:tc>
        <w:tc>
          <w:tcPr>
            <w:tcW w:w="43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提供响应产品2019年1月1日以来国内三甲医疗机构业绩证明，每提供1个业绩得1分，最多得10分。</w:t>
            </w:r>
          </w:p>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注：提供销售采购合同或发票复印件加盖投标人公章。非三甲医疗机构业绩证明请勿提供。</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以下材料均可作为依据：</w:t>
            </w:r>
          </w:p>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合同复印件；</w:t>
            </w:r>
          </w:p>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2.发票复印件（若发票复印件上无产品明细则需附销货清单）；</w:t>
            </w:r>
          </w:p>
        </w:tc>
      </w:tr>
      <w:tr>
        <w:tblPrEx>
          <w:tblCellMar>
            <w:top w:w="0" w:type="dxa"/>
            <w:left w:w="0" w:type="dxa"/>
            <w:bottom w:w="0" w:type="dxa"/>
            <w:right w:w="0" w:type="dxa"/>
          </w:tblCellMar>
        </w:tblPrEx>
        <w:trPr>
          <w:trHeight w:val="1256" w:hRule="atLeast"/>
        </w:trPr>
        <w:tc>
          <w:tcPr>
            <w:tcW w:w="532"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99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售后服务方案</w:t>
            </w:r>
          </w:p>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12%</w:t>
            </w:r>
          </w:p>
        </w:tc>
        <w:tc>
          <w:tcPr>
            <w:tcW w:w="567"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12</w:t>
            </w:r>
          </w:p>
        </w:tc>
        <w:tc>
          <w:tcPr>
            <w:tcW w:w="439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根据供应商提供的售后服务方案，包含：①质量保障方案；②技术支持方案；③应急方案；④服务响应方案。方案包含以上4个方面的得12分，每缺少一项的扣3分，每有一项存在内容缺陷扣1.5分，扣完为止。</w:t>
            </w:r>
          </w:p>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注：内容缺陷是指非专门针对本项目或不适用项目特性的情形、内容不完整或缺少关键节点、套用其他项目内容、内容前后矛盾、涉及的规范及标准错误、不利于项目实施、不可能实现的情形等任意一种情形。</w:t>
            </w:r>
          </w:p>
        </w:tc>
        <w:tc>
          <w:tcPr>
            <w:tcW w:w="2693"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left"/>
              <w:rPr>
                <w:rFonts w:hint="eastAsia" w:ascii="仿宋" w:hAnsi="仿宋" w:eastAsia="仿宋" w:cs="宋体"/>
                <w:color w:val="000000"/>
                <w:kern w:val="0"/>
                <w:sz w:val="22"/>
              </w:rPr>
            </w:pPr>
          </w:p>
        </w:tc>
      </w:tr>
    </w:tbl>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6"/>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6"/>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6"/>
        <w:tblW w:w="9276" w:type="dxa"/>
        <w:tblInd w:w="0" w:type="dxa"/>
        <w:shd w:val="clear" w:color="auto" w:fill="FFFFFF"/>
        <w:tblLayout w:type="autofit"/>
        <w:tblCellMar>
          <w:top w:w="0" w:type="dxa"/>
          <w:left w:w="0" w:type="dxa"/>
          <w:bottom w:w="0" w:type="dxa"/>
          <w:right w:w="0" w:type="dxa"/>
        </w:tblCellMar>
      </w:tblPr>
      <w:tblGrid>
        <w:gridCol w:w="466"/>
        <w:gridCol w:w="1036"/>
        <w:gridCol w:w="1158"/>
        <w:gridCol w:w="974"/>
        <w:gridCol w:w="567"/>
        <w:gridCol w:w="1276"/>
        <w:gridCol w:w="936"/>
        <w:gridCol w:w="936"/>
        <w:gridCol w:w="947"/>
        <w:gridCol w:w="19"/>
        <w:gridCol w:w="961"/>
      </w:tblGrid>
      <w:tr>
        <w:tblPrEx>
          <w:shd w:val="clear" w:color="auto" w:fill="FFFFFF"/>
          <w:tblCellMar>
            <w:top w:w="0" w:type="dxa"/>
            <w:left w:w="0" w:type="dxa"/>
            <w:bottom w:w="0" w:type="dxa"/>
            <w:right w:w="0" w:type="dxa"/>
          </w:tblCellMar>
        </w:tblPrEx>
        <w:trPr>
          <w:trHeight w:val="735" w:hRule="atLeast"/>
        </w:trPr>
        <w:tc>
          <w:tcPr>
            <w:tcW w:w="4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97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包装（小）规格、型号</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成交单价（元）</w:t>
            </w:r>
          </w:p>
        </w:tc>
        <w:tc>
          <w:tcPr>
            <w:tcW w:w="936" w:type="dxa"/>
            <w:tcBorders>
              <w:top w:val="single" w:color="auto" w:sz="8" w:space="0"/>
              <w:left w:val="single" w:color="auto" w:sz="4" w:space="0"/>
              <w:bottom w:val="single" w:color="auto" w:sz="8" w:space="0"/>
              <w:right w:val="single" w:color="auto" w:sz="4"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w:t>
            </w:r>
          </w:p>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均价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936" w:type="dxa"/>
            <w:tcBorders>
              <w:top w:val="single" w:color="auto" w:sz="8" w:space="0"/>
              <w:left w:val="single" w:color="auto" w:sz="4" w:space="0"/>
              <w:bottom w:val="single" w:color="auto" w:sz="8" w:space="0"/>
              <w:right w:val="single" w:color="auto" w:sz="8" w:space="0"/>
            </w:tcBorders>
            <w:shd w:val="clear" w:color="auto" w:fill="FFFFFF"/>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年度预计用量(个)</w:t>
            </w:r>
          </w:p>
        </w:tc>
        <w:tc>
          <w:tcPr>
            <w:tcW w:w="947" w:type="dxa"/>
            <w:tcBorders>
              <w:top w:val="single" w:color="auto" w:sz="8" w:space="0"/>
              <w:left w:val="nil"/>
              <w:bottom w:val="single" w:color="auto" w:sz="8" w:space="0"/>
              <w:right w:val="single" w:color="auto" w:sz="4" w:space="0"/>
            </w:tcBorders>
            <w:shd w:val="clear" w:color="auto" w:fill="FFFFFF"/>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c>
          <w:tcPr>
            <w:tcW w:w="19" w:type="dxa"/>
            <w:tcBorders>
              <w:top w:val="single" w:color="auto" w:sz="8" w:space="0"/>
              <w:left w:val="single" w:color="auto" w:sz="4" w:space="0"/>
              <w:bottom w:val="single" w:color="auto" w:sz="8" w:space="0"/>
              <w:right w:val="nil"/>
            </w:tcBorders>
            <w:shd w:val="clear" w:color="auto" w:fill="FFFFFF"/>
            <w:vAlign w:val="center"/>
          </w:tcPr>
          <w:p>
            <w:pPr>
              <w:widowControl/>
              <w:jc w:val="center"/>
              <w:rPr>
                <w:rFonts w:ascii="仿宋_GB2312" w:hAnsi="Segoe UI" w:eastAsia="仿宋_GB2312" w:cs="Segoe UI"/>
                <w:color w:val="333333"/>
                <w:kern w:val="0"/>
                <w:sz w:val="24"/>
                <w:szCs w:val="24"/>
              </w:rPr>
            </w:pPr>
          </w:p>
        </w:tc>
        <w:tc>
          <w:tcPr>
            <w:tcW w:w="9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商品</w:t>
            </w:r>
          </w:p>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代码</w:t>
            </w:r>
          </w:p>
        </w:tc>
      </w:tr>
      <w:tr>
        <w:tblPrEx>
          <w:shd w:val="clear" w:color="auto" w:fill="FFFFFF"/>
          <w:tblCellMar>
            <w:top w:w="0" w:type="dxa"/>
            <w:left w:w="0" w:type="dxa"/>
            <w:bottom w:w="0" w:type="dxa"/>
            <w:right w:w="0" w:type="dxa"/>
          </w:tblCellMar>
        </w:tblPrEx>
        <w:trPr>
          <w:trHeight w:val="392"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9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36" w:type="dxa"/>
            <w:tcBorders>
              <w:top w:val="nil"/>
              <w:left w:val="single" w:color="auto" w:sz="4" w:space="0"/>
              <w:bottom w:val="single" w:color="auto" w:sz="8" w:space="0"/>
              <w:right w:val="single" w:color="auto" w:sz="4" w:space="0"/>
            </w:tcBorders>
            <w:shd w:val="clear" w:color="auto" w:fill="FFFFFF"/>
            <w:vAlign w:val="center"/>
          </w:tcPr>
          <w:p>
            <w:pPr>
              <w:widowControl/>
              <w:jc w:val="center"/>
              <w:rPr>
                <w:rFonts w:ascii="仿宋" w:hAnsi="仿宋" w:eastAsia="仿宋" w:cs="宋体"/>
                <w:color w:val="000000"/>
                <w:kern w:val="0"/>
                <w:sz w:val="24"/>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80</w:t>
            </w: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6413"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2863" w:type="dxa"/>
            <w:gridSpan w:val="4"/>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授权代表签字：</w:t>
      </w:r>
      <w:bookmarkStart w:id="1" w:name="_GoBack"/>
      <w:bookmarkEnd w:id="1"/>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2"/>
        <w:ind w:firstLine="2100" w:firstLineChars="750"/>
        <w:rPr>
          <w:rFonts w:ascii="长城小标宋体" w:hAnsi="仿宋" w:eastAsia="长城小标宋体"/>
          <w:color w:val="000000" w:themeColor="text1"/>
          <w:sz w:val="28"/>
          <w:szCs w:val="22"/>
        </w:rPr>
      </w:pPr>
      <w:r>
        <w:rPr>
          <w:rFonts w:hint="eastAsia" w:ascii="长城小标宋体" w:hAnsi="仿宋" w:eastAsia="长城小标宋体"/>
          <w:color w:val="000000" w:themeColor="text1"/>
          <w:sz w:val="28"/>
          <w:szCs w:val="22"/>
        </w:rPr>
        <w:t xml:space="preserve"> 无围标、串标行为承诺书</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 xml:space="preserve">投标人：（公章）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日期：   年    月    日</w:t>
      </w: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201060901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9883DB3"/>
    <w:rsid w:val="1A707F41"/>
    <w:rsid w:val="1DE05766"/>
    <w:rsid w:val="1E997E27"/>
    <w:rsid w:val="22827069"/>
    <w:rsid w:val="25933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
    <w:unhideWhenUsed/>
    <w:qFormat/>
    <w:uiPriority w:val="99"/>
    <w:pPr>
      <w:spacing w:after="120"/>
    </w:pPr>
    <w:rPr>
      <w:szCs w:val="24"/>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uiPriority w:val="99"/>
    <w:rPr>
      <w:sz w:val="18"/>
      <w:szCs w:val="18"/>
    </w:rPr>
  </w:style>
  <w:style w:type="character" w:customStyle="1" w:styleId="10">
    <w:name w:val="页脚 Char"/>
    <w:basedOn w:val="8"/>
    <w:link w:val="3"/>
    <w:semiHidden/>
    <w:uiPriority w:val="99"/>
    <w:rPr>
      <w:sz w:val="18"/>
      <w:szCs w:val="18"/>
    </w:rPr>
  </w:style>
  <w:style w:type="paragraph" w:styleId="11">
    <w:name w:val="List Paragraph"/>
    <w:basedOn w:val="1"/>
    <w:qFormat/>
    <w:uiPriority w:val="34"/>
    <w:pPr>
      <w:ind w:firstLine="420" w:firstLineChars="200"/>
    </w:pPr>
  </w:style>
  <w:style w:type="character" w:customStyle="1" w:styleId="12">
    <w:name w:val="正文文本 Char"/>
    <w:basedOn w:val="8"/>
    <w:link w:val="2"/>
    <w:qFormat/>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763</Words>
  <Characters>4350</Characters>
  <Lines>36</Lines>
  <Paragraphs>10</Paragraphs>
  <TotalTime>2</TotalTime>
  <ScaleCrop>false</ScaleCrop>
  <LinksUpToDate>false</LinksUpToDate>
  <CharactersWithSpaces>5103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Administrator</cp:lastModifiedBy>
  <cp:lastPrinted>2022-03-22T08:02:00Z</cp:lastPrinted>
  <dcterms:modified xsi:type="dcterms:W3CDTF">2022-12-02T02:42:21Z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