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2"/>
        <w:keepNext w:val="0"/>
        <w:keepLines w:val="0"/>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2"/>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采购项目编号：SCFY-YXZB202212-009(磋)</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46</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1"/>
        <w:tblW w:w="9119" w:type="dxa"/>
        <w:tblInd w:w="0" w:type="dxa"/>
        <w:tblLayout w:type="fixed"/>
        <w:tblCellMar>
          <w:top w:w="0" w:type="dxa"/>
          <w:left w:w="0" w:type="dxa"/>
          <w:bottom w:w="0" w:type="dxa"/>
          <w:right w:w="0" w:type="dxa"/>
        </w:tblCellMar>
      </w:tblPr>
      <w:tblGrid>
        <w:gridCol w:w="518"/>
        <w:gridCol w:w="1280"/>
        <w:gridCol w:w="1248"/>
        <w:gridCol w:w="6073"/>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lang w:val="en-US" w:eastAsia="zh-CN"/>
              </w:rPr>
            </w:pPr>
            <w:r>
              <w:rPr>
                <w:rFonts w:hint="eastAsia"/>
                <w:lang w:val="en-US" w:eastAsia="zh-CN"/>
              </w:rPr>
              <w:t>序号</w:t>
            </w:r>
          </w:p>
        </w:tc>
        <w:tc>
          <w:tcPr>
            <w:tcW w:w="12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产品名称</w:t>
            </w:r>
          </w:p>
        </w:tc>
        <w:tc>
          <w:tcPr>
            <w:tcW w:w="124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预估年</w:t>
            </w:r>
            <w:r>
              <w:rPr>
                <w:rFonts w:hint="eastAsia"/>
                <w:lang w:val="en-US" w:eastAsia="zh-CN"/>
              </w:rPr>
              <w:t>采购数</w:t>
            </w:r>
            <w:r>
              <w:rPr>
                <w:rFonts w:hint="eastAsia"/>
              </w:rPr>
              <w:t>量</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pPr>
            <w:r>
              <w:rPr>
                <w:rFonts w:hint="eastAsia"/>
              </w:rPr>
              <w:t>技术参数要求</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外科手术引流导管</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olor w:val="auto"/>
                <w:lang w:val="en-US" w:eastAsia="zh-CN"/>
              </w:rPr>
            </w:pPr>
            <w:r>
              <w:rPr>
                <w:rFonts w:hint="eastAsia"/>
                <w:color w:val="auto"/>
                <w:lang w:val="en-US" w:eastAsia="zh-CN"/>
              </w:rPr>
              <w:t>1000</w:t>
            </w:r>
          </w:p>
        </w:tc>
        <w:tc>
          <w:tcPr>
            <w:tcW w:w="6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rPr>
                <w:rFonts w:hint="eastAsia"/>
                <w:color w:val="auto"/>
                <w:lang w:val="en-US" w:eastAsia="zh-CN"/>
              </w:rPr>
            </w:pPr>
            <w:r>
              <w:rPr>
                <w:rFonts w:hint="eastAsia"/>
                <w:color w:val="auto"/>
                <w:lang w:val="en-US" w:eastAsia="zh-CN"/>
              </w:rPr>
              <w:t>1.用于体表创伤或切口引流。</w:t>
            </w:r>
          </w:p>
          <w:p>
            <w:pPr>
              <w:widowControl/>
              <w:numPr>
                <w:ilvl w:val="0"/>
                <w:numId w:val="0"/>
              </w:numPr>
              <w:jc w:val="left"/>
              <w:textAlignment w:val="center"/>
              <w:rPr>
                <w:rFonts w:hint="eastAsia"/>
                <w:color w:val="auto"/>
                <w:lang w:val="en-US" w:eastAsia="zh-CN"/>
              </w:rPr>
            </w:pPr>
            <w:r>
              <w:rPr>
                <w:rFonts w:hint="eastAsia"/>
                <w:color w:val="auto"/>
                <w:lang w:val="en-US" w:eastAsia="zh-CN"/>
              </w:rPr>
              <w:t>2.由引流导管、引流球、引导针等组成。</w:t>
            </w:r>
          </w:p>
          <w:p>
            <w:pPr>
              <w:widowControl/>
              <w:numPr>
                <w:ilvl w:val="0"/>
                <w:numId w:val="0"/>
              </w:numPr>
              <w:jc w:val="left"/>
              <w:textAlignment w:val="center"/>
              <w:rPr>
                <w:rFonts w:hint="default"/>
                <w:color w:val="auto"/>
                <w:lang w:val="en-US" w:eastAsia="zh-CN"/>
              </w:rPr>
            </w:pPr>
            <w:r>
              <w:rPr>
                <w:rFonts w:hint="eastAsia"/>
                <w:color w:val="auto"/>
                <w:lang w:val="en-US" w:eastAsia="zh-CN"/>
              </w:rPr>
              <w:t>3.材质要求：引流管、引流球为硅胶材质，引流袋为PVC材质，引导针为304H不锈钢材质。</w:t>
            </w:r>
          </w:p>
          <w:p>
            <w:pPr>
              <w:widowControl/>
              <w:numPr>
                <w:ilvl w:val="0"/>
                <w:numId w:val="0"/>
              </w:numPr>
              <w:jc w:val="left"/>
              <w:textAlignment w:val="center"/>
              <w:rPr>
                <w:rFonts w:hint="eastAsia"/>
                <w:color w:val="auto"/>
                <w:lang w:val="en-US" w:eastAsia="zh-CN"/>
              </w:rPr>
            </w:pPr>
            <w:r>
              <w:rPr>
                <w:rFonts w:hint="eastAsia"/>
                <w:color w:val="auto"/>
                <w:lang w:val="en-US" w:eastAsia="zh-CN"/>
              </w:rPr>
              <w:t>★4.有有引流袋和无引流袋两种型号可供医院选择（分别报价）。</w:t>
            </w:r>
          </w:p>
          <w:p>
            <w:pPr>
              <w:widowControl/>
              <w:numPr>
                <w:ilvl w:val="0"/>
                <w:numId w:val="0"/>
              </w:numPr>
              <w:jc w:val="left"/>
              <w:textAlignment w:val="center"/>
              <w:rPr>
                <w:rFonts w:hint="eastAsia"/>
                <w:color w:val="auto"/>
                <w:lang w:val="en-US" w:eastAsia="zh-CN"/>
              </w:rPr>
            </w:pPr>
            <w:r>
              <w:rPr>
                <w:rFonts w:hint="eastAsia"/>
                <w:color w:val="auto"/>
                <w:lang w:val="en-US" w:eastAsia="zh-CN"/>
              </w:rPr>
              <w:t>5.引流袋容量≥400ml。</w:t>
            </w:r>
          </w:p>
          <w:p>
            <w:pPr>
              <w:widowControl/>
              <w:numPr>
                <w:ilvl w:val="0"/>
                <w:numId w:val="0"/>
              </w:numPr>
              <w:jc w:val="left"/>
              <w:textAlignment w:val="center"/>
              <w:rPr>
                <w:rFonts w:hint="eastAsia"/>
                <w:color w:val="auto"/>
                <w:lang w:val="en-US" w:eastAsia="zh-CN"/>
              </w:rPr>
            </w:pPr>
            <w:r>
              <w:rPr>
                <w:rFonts w:hint="eastAsia"/>
                <w:color w:val="auto"/>
                <w:lang w:val="en-US" w:eastAsia="zh-CN"/>
              </w:rPr>
              <w:t>6.引流管规格有Fr6、Fr8、Fr10、Fr15、Fr18等可供医院不同使用科室选择。</w:t>
            </w:r>
          </w:p>
          <w:p>
            <w:pPr>
              <w:widowControl/>
              <w:numPr>
                <w:ilvl w:val="0"/>
                <w:numId w:val="0"/>
              </w:numPr>
              <w:jc w:val="left"/>
              <w:textAlignment w:val="center"/>
              <w:rPr>
                <w:rFonts w:hint="default"/>
                <w:color w:val="auto"/>
                <w:lang w:val="en-US" w:eastAsia="zh-CN"/>
              </w:rPr>
            </w:pPr>
            <w:r>
              <w:rPr>
                <w:rFonts w:hint="eastAsia"/>
                <w:color w:val="auto"/>
                <w:lang w:val="en-US" w:eastAsia="zh-CN"/>
              </w:rPr>
              <w:t>7.引流管一体成型，抗拉力强，避免术后断管。</w:t>
            </w:r>
          </w:p>
          <w:p>
            <w:pPr>
              <w:widowControl/>
              <w:numPr>
                <w:ilvl w:val="0"/>
                <w:numId w:val="0"/>
              </w:numPr>
              <w:jc w:val="left"/>
              <w:textAlignment w:val="center"/>
              <w:rPr>
                <w:rFonts w:hint="default"/>
                <w:color w:val="auto"/>
                <w:lang w:val="en-US" w:eastAsia="zh-CN"/>
              </w:rPr>
            </w:pPr>
            <w:r>
              <w:rPr>
                <w:rFonts w:hint="eastAsia"/>
                <w:color w:val="auto"/>
                <w:lang w:val="en-US" w:eastAsia="zh-CN"/>
              </w:rPr>
              <w:t>8.引流球球体柔软、弹性好，可观察刻度，方便记录引流量。</w:t>
            </w:r>
          </w:p>
          <w:p>
            <w:pPr>
              <w:widowControl/>
              <w:numPr>
                <w:ilvl w:val="0"/>
                <w:numId w:val="0"/>
              </w:numPr>
              <w:jc w:val="left"/>
              <w:textAlignment w:val="center"/>
              <w:rPr>
                <w:rFonts w:hint="default"/>
                <w:color w:val="auto"/>
                <w:lang w:val="en-US" w:eastAsia="zh-CN"/>
              </w:rPr>
            </w:pPr>
            <w:r>
              <w:rPr>
                <w:rFonts w:hint="eastAsia"/>
                <w:color w:val="auto"/>
                <w:lang w:val="en-US" w:eastAsia="zh-CN"/>
              </w:rPr>
              <w:t>9.环氧乙烷灭菌，一次性使用。</w:t>
            </w:r>
          </w:p>
        </w:tc>
      </w:tr>
    </w:tbl>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3"/>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3"/>
        <w:ind w:left="283" w:leftChars="135" w:firstLine="0" w:firstLineChars="0"/>
      </w:pPr>
      <w:r>
        <w:rPr>
          <w:rFonts w:hint="eastAsia"/>
        </w:rPr>
        <w:t>（二）服务要求：</w:t>
      </w:r>
    </w:p>
    <w:p>
      <w:pPr>
        <w:pStyle w:val="3"/>
        <w:spacing w:line="400" w:lineRule="exact"/>
        <w:ind w:firstLine="480"/>
        <w:rPr>
          <w:rFonts w:hint="eastAsia"/>
          <w:lang w:eastAsia="zh-CN"/>
        </w:rPr>
      </w:pPr>
      <w:r>
        <w:rPr>
          <w:rFonts w:hint="eastAsia"/>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lang w:eastAsia="zh-CN"/>
        </w:rPr>
        <w:t>（</w:t>
      </w:r>
      <w:r>
        <w:rPr>
          <w:rFonts w:hint="eastAsia"/>
          <w:lang w:val="en-US" w:eastAsia="zh-CN"/>
        </w:rPr>
        <w:t>已经挂网的需要提供集采平台挂网截图</w:t>
      </w:r>
      <w:r>
        <w:rPr>
          <w:rFonts w:hint="eastAsia"/>
          <w:lang w:eastAsia="zh-CN"/>
        </w:rPr>
        <w:t>）</w:t>
      </w:r>
    </w:p>
    <w:p>
      <w:pPr>
        <w:pStyle w:val="3"/>
        <w:spacing w:line="400" w:lineRule="exact"/>
        <w:ind w:firstLine="480"/>
      </w:pPr>
      <w:r>
        <w:rPr>
          <w:rFonts w:hint="eastAsia"/>
        </w:rPr>
        <w:t>（三）商务要求：</w:t>
      </w:r>
    </w:p>
    <w:p>
      <w:pPr>
        <w:pStyle w:val="3"/>
        <w:spacing w:line="400" w:lineRule="exact"/>
        <w:ind w:firstLine="480"/>
      </w:pPr>
      <w:r>
        <w:rPr>
          <w:rFonts w:hint="eastAsia"/>
        </w:rPr>
        <w:t>▲1.付款方法和条件：</w:t>
      </w:r>
    </w:p>
    <w:p>
      <w:pPr>
        <w:pStyle w:val="3"/>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3"/>
        <w:spacing w:line="400" w:lineRule="exact"/>
        <w:ind w:firstLine="480"/>
      </w:pPr>
      <w:r>
        <w:rPr>
          <w:rFonts w:hint="eastAsia"/>
        </w:rPr>
        <w:t>（2）因供应商供货质量不合格或不符合采购人要求的，采购人有权拒绝付款。</w:t>
      </w:r>
    </w:p>
    <w:p>
      <w:pPr>
        <w:pStyle w:val="3"/>
        <w:spacing w:line="400" w:lineRule="exact"/>
        <w:ind w:firstLine="480"/>
      </w:pPr>
      <w:r>
        <w:rPr>
          <w:rFonts w:hint="eastAsia"/>
        </w:rPr>
        <w:t>▲2.供货期限：3年，采购数量以实际使用量为准。</w:t>
      </w:r>
    </w:p>
    <w:p>
      <w:pPr>
        <w:pStyle w:val="3"/>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pPr>
      <w:r>
        <w:rPr>
          <w:rFonts w:hint="eastAsia"/>
        </w:rPr>
        <w:t>▲5.质量保证：</w:t>
      </w:r>
    </w:p>
    <w:p>
      <w:pPr>
        <w:pStyle w:val="3"/>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hint="eastAsia"/>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spacing w:line="360" w:lineRule="auto"/>
        <w:jc w:val="left"/>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pPr w:leftFromText="180" w:rightFromText="180" w:vertAnchor="text" w:horzAnchor="page" w:tblpXSpec="center" w:tblpY="22"/>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84"/>
        <w:gridCol w:w="480"/>
        <w:gridCol w:w="6648"/>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08" w:type="dxa"/>
            <w:noWrap/>
            <w:vAlign w:val="center"/>
          </w:tcPr>
          <w:p>
            <w:pPr>
              <w:widowControl/>
              <w:spacing w:line="240" w:lineRule="atLeast"/>
              <w:jc w:val="center"/>
              <w:rPr>
                <w:color w:val="auto"/>
              </w:rPr>
            </w:pPr>
            <w:r>
              <w:rPr>
                <w:rFonts w:hint="eastAsia"/>
                <w:color w:val="auto"/>
              </w:rPr>
              <w:t>序号</w:t>
            </w:r>
          </w:p>
        </w:tc>
        <w:tc>
          <w:tcPr>
            <w:tcW w:w="984" w:type="dxa"/>
            <w:noWrap/>
            <w:vAlign w:val="center"/>
          </w:tcPr>
          <w:p>
            <w:pPr>
              <w:widowControl/>
              <w:spacing w:line="240" w:lineRule="atLeast"/>
              <w:jc w:val="center"/>
              <w:rPr>
                <w:color w:val="auto"/>
              </w:rPr>
            </w:pPr>
            <w:r>
              <w:rPr>
                <w:rFonts w:hint="eastAsia"/>
                <w:color w:val="auto"/>
              </w:rPr>
              <w:t>评分因素及权重</w:t>
            </w:r>
          </w:p>
        </w:tc>
        <w:tc>
          <w:tcPr>
            <w:tcW w:w="480" w:type="dxa"/>
            <w:noWrap/>
            <w:vAlign w:val="center"/>
          </w:tcPr>
          <w:p>
            <w:pPr>
              <w:widowControl/>
              <w:wordWrap w:val="0"/>
              <w:spacing w:line="240" w:lineRule="atLeast"/>
              <w:jc w:val="center"/>
              <w:rPr>
                <w:color w:val="auto"/>
              </w:rPr>
            </w:pPr>
            <w:r>
              <w:rPr>
                <w:rFonts w:hint="eastAsia"/>
                <w:color w:val="auto"/>
              </w:rPr>
              <w:t>分值</w:t>
            </w:r>
          </w:p>
        </w:tc>
        <w:tc>
          <w:tcPr>
            <w:tcW w:w="6648" w:type="dxa"/>
            <w:noWrap/>
            <w:vAlign w:val="center"/>
          </w:tcPr>
          <w:p>
            <w:pPr>
              <w:widowControl/>
              <w:wordWrap w:val="0"/>
              <w:spacing w:line="240" w:lineRule="atLeast"/>
              <w:jc w:val="center"/>
              <w:rPr>
                <w:color w:val="auto"/>
              </w:rPr>
            </w:pPr>
            <w:r>
              <w:rPr>
                <w:rFonts w:hint="eastAsia"/>
                <w:color w:val="auto"/>
              </w:rPr>
              <w:t>评分标准</w:t>
            </w:r>
          </w:p>
        </w:tc>
        <w:tc>
          <w:tcPr>
            <w:tcW w:w="643" w:type="dxa"/>
            <w:noWrap/>
            <w:vAlign w:val="center"/>
          </w:tcPr>
          <w:p>
            <w:pPr>
              <w:widowControl/>
              <w:wordWrap w:val="0"/>
              <w:spacing w:line="240" w:lineRule="atLeast"/>
              <w:jc w:val="center"/>
              <w:rPr>
                <w:color w:val="auto"/>
              </w:rPr>
            </w:pPr>
            <w:r>
              <w:rPr>
                <w:rFonts w:hint="eastAsia"/>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08" w:type="dxa"/>
            <w:noWrap/>
            <w:vAlign w:val="center"/>
          </w:tcPr>
          <w:p>
            <w:pPr>
              <w:widowControl/>
              <w:wordWrap w:val="0"/>
              <w:spacing w:line="270" w:lineRule="atLeast"/>
              <w:jc w:val="center"/>
              <w:rPr>
                <w:color w:val="auto"/>
              </w:rPr>
            </w:pPr>
            <w:r>
              <w:rPr>
                <w:rFonts w:hint="eastAsia"/>
                <w:color w:val="auto"/>
              </w:rPr>
              <w:t>1</w:t>
            </w:r>
          </w:p>
        </w:tc>
        <w:tc>
          <w:tcPr>
            <w:tcW w:w="984" w:type="dxa"/>
            <w:noWrap/>
            <w:vAlign w:val="center"/>
          </w:tcPr>
          <w:p>
            <w:pPr>
              <w:widowControl/>
              <w:wordWrap w:val="0"/>
              <w:spacing w:line="270" w:lineRule="atLeast"/>
              <w:jc w:val="center"/>
              <w:rPr>
                <w:color w:val="auto"/>
              </w:rPr>
            </w:pPr>
            <w:r>
              <w:rPr>
                <w:rFonts w:hint="eastAsia"/>
                <w:color w:val="auto"/>
              </w:rPr>
              <w:t>报价</w:t>
            </w:r>
          </w:p>
          <w:p>
            <w:pPr>
              <w:widowControl/>
              <w:wordWrap w:val="0"/>
              <w:spacing w:line="270" w:lineRule="atLeast"/>
              <w:jc w:val="center"/>
              <w:rPr>
                <w:color w:val="auto"/>
              </w:rPr>
            </w:pPr>
            <w:r>
              <w:rPr>
                <w:rFonts w:hint="eastAsia"/>
                <w:color w:val="auto"/>
                <w:lang w:val="en-US" w:eastAsia="zh-CN"/>
              </w:rPr>
              <w:t>30</w:t>
            </w:r>
            <w:r>
              <w:rPr>
                <w:rFonts w:hint="eastAsia"/>
                <w:color w:val="auto"/>
              </w:rPr>
              <w:t>%</w:t>
            </w:r>
          </w:p>
        </w:tc>
        <w:tc>
          <w:tcPr>
            <w:tcW w:w="480" w:type="dxa"/>
            <w:noWrap/>
            <w:vAlign w:val="center"/>
          </w:tcPr>
          <w:p>
            <w:pPr>
              <w:widowControl/>
              <w:wordWrap w:val="0"/>
              <w:spacing w:line="270" w:lineRule="atLeast"/>
              <w:jc w:val="center"/>
              <w:rPr>
                <w:color w:val="auto"/>
              </w:rPr>
            </w:pPr>
            <w:r>
              <w:rPr>
                <w:rFonts w:hint="eastAsia"/>
                <w:color w:val="auto"/>
                <w:lang w:val="en-US" w:eastAsia="zh-CN"/>
              </w:rPr>
              <w:t>30</w:t>
            </w:r>
            <w:r>
              <w:rPr>
                <w:rFonts w:hint="eastAsia"/>
                <w:color w:val="auto"/>
              </w:rPr>
              <w:t>分</w:t>
            </w:r>
          </w:p>
        </w:tc>
        <w:tc>
          <w:tcPr>
            <w:tcW w:w="6648" w:type="dxa"/>
            <w:noWrap/>
            <w:vAlign w:val="center"/>
          </w:tcPr>
          <w:p>
            <w:pPr>
              <w:widowControl/>
              <w:numPr>
                <w:ilvl w:val="0"/>
                <w:numId w:val="1"/>
              </w:numPr>
              <w:wordWrap w:val="0"/>
              <w:spacing w:line="270" w:lineRule="atLeast"/>
              <w:jc w:val="left"/>
              <w:rPr>
                <w:rFonts w:hint="eastAsia" w:cs="Segoe UI" w:asciiTheme="minorEastAsia" w:hAnsiTheme="minorEastAsia"/>
                <w:b/>
                <w:color w:val="000000" w:themeColor="text1"/>
                <w:kern w:val="0"/>
                <w:szCs w:val="21"/>
              </w:rPr>
            </w:pPr>
            <w:r>
              <w:rPr>
                <w:rFonts w:hint="eastAsia" w:cs="Segoe UI" w:asciiTheme="minorEastAsia" w:hAnsiTheme="minorEastAsia"/>
                <w:b/>
                <w:color w:val="000000" w:themeColor="text1"/>
                <w:kern w:val="0"/>
                <w:szCs w:val="21"/>
              </w:rPr>
              <w:t>价格分：</w:t>
            </w:r>
          </w:p>
          <w:p>
            <w:pPr>
              <w:widowControl/>
              <w:numPr>
                <w:ilvl w:val="0"/>
                <w:numId w:val="0"/>
              </w:numPr>
              <w:wordWrap w:val="0"/>
              <w:spacing w:line="270" w:lineRule="atLeast"/>
              <w:jc w:val="left"/>
              <w:rPr>
                <w:rFonts w:hint="eastAsia"/>
              </w:rPr>
            </w:pPr>
            <w:r>
              <w:rPr>
                <w:rFonts w:hint="eastAsia"/>
              </w:rPr>
              <w:t>满足磋商文件要求且报价最低的有效最终磋商报价</w:t>
            </w:r>
            <w:r>
              <w:rPr>
                <w:rFonts w:hint="eastAsia"/>
                <w:lang w:val="en-US" w:eastAsia="zh-CN"/>
              </w:rPr>
              <w:t>总价</w:t>
            </w:r>
            <w:r>
              <w:rPr>
                <w:rFonts w:hint="eastAsia"/>
              </w:rPr>
              <w:t>为磋商基准价，其报价分为</w:t>
            </w:r>
            <w:r>
              <w:rPr>
                <w:rFonts w:hint="eastAsia"/>
                <w:lang w:val="en-US" w:eastAsia="zh-CN"/>
              </w:rPr>
              <w:t>30</w:t>
            </w:r>
            <w:r>
              <w:rPr>
                <w:rFonts w:hint="eastAsia"/>
              </w:rPr>
              <w:t>分。其他供应商的报价分按以下公式计算：报价得分=(磋商基准价／最终磋商报价)×</w:t>
            </w:r>
            <w:r>
              <w:rPr>
                <w:rFonts w:hint="eastAsia"/>
                <w:lang w:val="en-US" w:eastAsia="zh-CN"/>
              </w:rPr>
              <w:t>30</w:t>
            </w:r>
            <w:r>
              <w:rPr>
                <w:rFonts w:hint="eastAsia"/>
              </w:rPr>
              <w:t>。</w:t>
            </w:r>
          </w:p>
          <w:p>
            <w:pPr>
              <w:widowControl/>
              <w:wordWrap w:val="0"/>
              <w:spacing w:line="270" w:lineRule="atLeast"/>
              <w:jc w:val="left"/>
              <w:rPr>
                <w:rFonts w:hint="default" w:cs="Segoe UI" w:asciiTheme="minorEastAsia" w:hAnsiTheme="minorEastAsia" w:eastAsiaTheme="minorEastAsia"/>
                <w:b/>
                <w:color w:val="000000" w:themeColor="text1"/>
                <w:kern w:val="0"/>
                <w:szCs w:val="21"/>
                <w:lang w:val="en-US" w:eastAsia="zh-CN"/>
              </w:rPr>
            </w:pPr>
            <w:r>
              <w:rPr>
                <w:rFonts w:hint="eastAsia" w:cs="Segoe UI" w:asciiTheme="minorEastAsia" w:hAnsiTheme="minorEastAsia"/>
                <w:b/>
                <w:color w:val="000000" w:themeColor="text1"/>
                <w:kern w:val="0"/>
                <w:szCs w:val="21"/>
              </w:rPr>
              <w:t>2.</w:t>
            </w:r>
            <w:r>
              <w:rPr>
                <w:rFonts w:hint="eastAsia" w:cs="Segoe UI" w:asciiTheme="minorEastAsia" w:hAnsiTheme="minorEastAsia"/>
                <w:b/>
                <w:color w:val="000000" w:themeColor="text1"/>
                <w:kern w:val="0"/>
                <w:szCs w:val="21"/>
                <w:lang w:val="en-US" w:eastAsia="zh-CN"/>
              </w:rPr>
              <w:t>最终磋商报价</w:t>
            </w:r>
          </w:p>
          <w:p>
            <w:pPr>
              <w:pStyle w:val="5"/>
              <w:rPr>
                <w:rFonts w:hint="eastAsia" w:eastAsiaTheme="minorEastAsia"/>
                <w:lang w:eastAsia="zh-CN"/>
              </w:rPr>
            </w:pPr>
            <w:r>
              <w:rPr>
                <w:rFonts w:hint="eastAsia" w:cs="Segoe UI" w:asciiTheme="minorEastAsia" w:hAnsiTheme="minorEastAsia"/>
                <w:color w:val="000000" w:themeColor="text1"/>
                <w:kern w:val="0"/>
                <w:szCs w:val="21"/>
                <w:lang w:val="en-US" w:eastAsia="zh-CN"/>
              </w:rPr>
              <w:t>最终磋商报价</w:t>
            </w:r>
            <w:r>
              <w:rPr>
                <w:rFonts w:hint="eastAsia" w:cs="Segoe UI" w:asciiTheme="minorEastAsia" w:hAnsiTheme="minorEastAsia"/>
                <w:color w:val="000000" w:themeColor="text1"/>
                <w:kern w:val="0"/>
                <w:szCs w:val="21"/>
              </w:rPr>
              <w:t>=投标单价*</w:t>
            </w:r>
            <w:r>
              <w:rPr>
                <w:rFonts w:hint="eastAsia"/>
              </w:rPr>
              <w:t>预估年</w:t>
            </w:r>
            <w:r>
              <w:rPr>
                <w:rFonts w:hint="eastAsia"/>
                <w:lang w:val="en-US" w:eastAsia="zh-CN"/>
              </w:rPr>
              <w:t>采购数</w:t>
            </w:r>
            <w:r>
              <w:rPr>
                <w:rFonts w:hint="eastAsia"/>
              </w:rPr>
              <w:t>量</w:t>
            </w:r>
            <w:r>
              <w:rPr>
                <w:rFonts w:hint="eastAsia"/>
                <w:lang w:eastAsia="zh-CN"/>
              </w:rPr>
              <w:t>（</w:t>
            </w:r>
            <w:r>
              <w:rPr>
                <w:rFonts w:hint="eastAsia" w:cs="Segoe UI" w:asciiTheme="minorEastAsia" w:hAnsiTheme="minorEastAsia"/>
                <w:color w:val="000000" w:themeColor="text1"/>
                <w:kern w:val="0"/>
                <w:szCs w:val="21"/>
              </w:rPr>
              <w:t>若</w:t>
            </w:r>
            <w:r>
              <w:rPr>
                <w:rFonts w:hint="eastAsia" w:cs="Segoe UI" w:asciiTheme="minorEastAsia" w:hAnsiTheme="minorEastAsia"/>
                <w:color w:val="000000" w:themeColor="text1"/>
                <w:kern w:val="0"/>
                <w:szCs w:val="21"/>
                <w:lang w:val="en-US" w:eastAsia="zh-CN"/>
              </w:rPr>
              <w:t>报价</w:t>
            </w:r>
            <w:r>
              <w:rPr>
                <w:rFonts w:hint="eastAsia" w:cs="Segoe UI" w:asciiTheme="minorEastAsia" w:hAnsiTheme="minorEastAsia"/>
                <w:color w:val="000000" w:themeColor="text1"/>
                <w:kern w:val="0"/>
                <w:szCs w:val="21"/>
              </w:rPr>
              <w:t>产品有细分规格且报价不同，则按照</w:t>
            </w:r>
            <w:r>
              <w:rPr>
                <w:rFonts w:hint="eastAsia" w:cs="Segoe UI" w:asciiTheme="minorEastAsia" w:hAnsiTheme="minorEastAsia"/>
                <w:color w:val="000000" w:themeColor="text1"/>
                <w:kern w:val="0"/>
                <w:szCs w:val="21"/>
                <w:lang w:val="en-US" w:eastAsia="zh-CN"/>
              </w:rPr>
              <w:t>各规格的</w:t>
            </w:r>
            <w:r>
              <w:rPr>
                <w:rFonts w:hint="eastAsia" w:cs="Segoe UI" w:asciiTheme="minorEastAsia" w:hAnsiTheme="minorEastAsia"/>
                <w:color w:val="000000" w:themeColor="text1"/>
                <w:kern w:val="0"/>
                <w:szCs w:val="21"/>
              </w:rPr>
              <w:t>平均价计算</w:t>
            </w:r>
            <w:r>
              <w:rPr>
                <w:rFonts w:hint="eastAsia" w:cs="Segoe UI" w:asciiTheme="minorEastAsia" w:hAnsiTheme="minorEastAsia"/>
                <w:color w:val="000000" w:themeColor="text1"/>
                <w:kern w:val="0"/>
                <w:szCs w:val="21"/>
                <w:lang w:val="en-US" w:eastAsia="zh-CN"/>
              </w:rPr>
              <w:t>投标</w:t>
            </w:r>
            <w:r>
              <w:rPr>
                <w:rFonts w:hint="eastAsia" w:cs="Segoe UI" w:asciiTheme="minorEastAsia" w:hAnsiTheme="minorEastAsia"/>
                <w:color w:val="000000" w:themeColor="text1"/>
                <w:kern w:val="0"/>
                <w:szCs w:val="21"/>
              </w:rPr>
              <w:t>单价</w:t>
            </w:r>
            <w:r>
              <w:rPr>
                <w:rFonts w:hint="eastAsia"/>
                <w:lang w:eastAsia="zh-CN"/>
              </w:rPr>
              <w:t>）</w:t>
            </w:r>
          </w:p>
        </w:tc>
        <w:tc>
          <w:tcPr>
            <w:tcW w:w="643" w:type="dxa"/>
            <w:noWrap/>
            <w:vAlign w:val="center"/>
          </w:tcPr>
          <w:p>
            <w:pPr>
              <w:wordWrap w:val="0"/>
              <w:spacing w:line="270" w:lineRule="atLeast"/>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8" w:type="dxa"/>
            <w:noWrap/>
            <w:vAlign w:val="center"/>
          </w:tcPr>
          <w:p>
            <w:pPr>
              <w:widowControl/>
              <w:wordWrap w:val="0"/>
              <w:spacing w:line="270" w:lineRule="atLeast"/>
              <w:jc w:val="center"/>
              <w:rPr>
                <w:color w:val="auto"/>
              </w:rPr>
            </w:pPr>
            <w:r>
              <w:rPr>
                <w:rFonts w:hint="eastAsia"/>
                <w:color w:val="auto"/>
              </w:rPr>
              <w:t>2</w:t>
            </w:r>
          </w:p>
        </w:tc>
        <w:tc>
          <w:tcPr>
            <w:tcW w:w="984" w:type="dxa"/>
            <w:noWrap/>
            <w:vAlign w:val="center"/>
          </w:tcPr>
          <w:p>
            <w:pPr>
              <w:widowControl/>
              <w:wordWrap w:val="0"/>
              <w:spacing w:line="270" w:lineRule="atLeast"/>
              <w:jc w:val="center"/>
              <w:rPr>
                <w:rFonts w:hint="eastAsia"/>
                <w:color w:val="auto"/>
              </w:rPr>
            </w:pPr>
            <w:r>
              <w:rPr>
                <w:rFonts w:hint="eastAsia"/>
                <w:color w:val="auto"/>
              </w:rPr>
              <w:t>技术</w:t>
            </w:r>
          </w:p>
          <w:p>
            <w:pPr>
              <w:widowControl/>
              <w:wordWrap w:val="0"/>
              <w:spacing w:line="270" w:lineRule="atLeast"/>
              <w:jc w:val="center"/>
              <w:rPr>
                <w:color w:val="auto"/>
              </w:rPr>
            </w:pPr>
            <w:r>
              <w:rPr>
                <w:rFonts w:hint="eastAsia"/>
                <w:color w:val="auto"/>
              </w:rPr>
              <w:t>指标</w:t>
            </w:r>
          </w:p>
          <w:p>
            <w:pPr>
              <w:widowControl/>
              <w:wordWrap w:val="0"/>
              <w:spacing w:line="270" w:lineRule="atLeast"/>
              <w:jc w:val="center"/>
              <w:rPr>
                <w:color w:val="auto"/>
              </w:rPr>
            </w:pPr>
            <w:r>
              <w:rPr>
                <w:rFonts w:hint="eastAsia"/>
                <w:color w:val="auto"/>
                <w:lang w:val="en-US" w:eastAsia="zh-CN"/>
              </w:rPr>
              <w:t>42</w:t>
            </w:r>
            <w:r>
              <w:rPr>
                <w:rFonts w:hint="eastAsia"/>
                <w:color w:val="auto"/>
              </w:rPr>
              <w:t>%</w:t>
            </w:r>
          </w:p>
        </w:tc>
        <w:tc>
          <w:tcPr>
            <w:tcW w:w="480" w:type="dxa"/>
            <w:noWrap/>
            <w:vAlign w:val="center"/>
          </w:tcPr>
          <w:p>
            <w:pPr>
              <w:widowControl/>
              <w:wordWrap w:val="0"/>
              <w:spacing w:line="270" w:lineRule="atLeast"/>
              <w:jc w:val="center"/>
              <w:rPr>
                <w:color w:val="auto"/>
              </w:rPr>
            </w:pPr>
            <w:r>
              <w:rPr>
                <w:rFonts w:hint="eastAsia"/>
                <w:color w:val="auto"/>
                <w:lang w:val="en-US" w:eastAsia="zh-CN"/>
              </w:rPr>
              <w:t>42</w:t>
            </w:r>
            <w:r>
              <w:rPr>
                <w:rFonts w:hint="eastAsia"/>
                <w:color w:val="auto"/>
              </w:rPr>
              <w:t>分</w:t>
            </w:r>
          </w:p>
        </w:tc>
        <w:tc>
          <w:tcPr>
            <w:tcW w:w="6648" w:type="dxa"/>
            <w:noWrap/>
            <w:vAlign w:val="center"/>
          </w:tcPr>
          <w:p>
            <w:pPr>
              <w:widowControl/>
              <w:wordWrap w:val="0"/>
              <w:spacing w:line="270" w:lineRule="atLeast"/>
              <w:jc w:val="left"/>
              <w:rPr>
                <w:color w:val="auto"/>
              </w:rPr>
            </w:pPr>
            <w:r>
              <w:rPr>
                <w:rFonts w:hint="eastAsia"/>
                <w:color w:val="auto"/>
              </w:rPr>
              <w:t>完全满足磋商文件“二、技术参数要求”的</w:t>
            </w:r>
            <w:bookmarkStart w:id="3" w:name="_GoBack"/>
            <w:bookmarkEnd w:id="3"/>
            <w:r>
              <w:rPr>
                <w:rFonts w:hint="eastAsia"/>
                <w:color w:val="auto"/>
              </w:rPr>
              <w:t>要求没有负偏离得</w:t>
            </w:r>
            <w:r>
              <w:rPr>
                <w:rFonts w:hint="eastAsia"/>
                <w:color w:val="auto"/>
                <w:lang w:val="en-US" w:eastAsia="zh-CN"/>
              </w:rPr>
              <w:t>42</w:t>
            </w:r>
            <w:r>
              <w:rPr>
                <w:rFonts w:hint="eastAsia"/>
                <w:color w:val="auto"/>
              </w:rPr>
              <w:t>分。</w:t>
            </w:r>
          </w:p>
          <w:p>
            <w:pPr>
              <w:widowControl/>
              <w:wordWrap w:val="0"/>
              <w:spacing w:line="270" w:lineRule="atLeast"/>
              <w:jc w:val="left"/>
              <w:rPr>
                <w:color w:val="auto"/>
              </w:rPr>
            </w:pPr>
            <w:r>
              <w:rPr>
                <w:rFonts w:hint="eastAsia"/>
                <w:color w:val="auto"/>
                <w:lang w:val="en-US" w:eastAsia="zh-CN"/>
              </w:rPr>
              <w:t>“★”的参数为重要参数</w:t>
            </w:r>
            <w:r>
              <w:rPr>
                <w:rFonts w:hint="eastAsia"/>
                <w:color w:val="auto"/>
              </w:rPr>
              <w:t>（共</w:t>
            </w:r>
            <w:r>
              <w:rPr>
                <w:rFonts w:hint="eastAsia"/>
                <w:color w:val="auto"/>
                <w:lang w:val="en-US" w:eastAsia="zh-CN"/>
              </w:rPr>
              <w:t>1</w:t>
            </w:r>
            <w:r>
              <w:rPr>
                <w:rFonts w:hint="eastAsia"/>
                <w:color w:val="auto"/>
              </w:rPr>
              <w:t>条），每有一条负偏离的扣</w:t>
            </w:r>
            <w:r>
              <w:rPr>
                <w:rFonts w:hint="eastAsia"/>
                <w:color w:val="auto"/>
                <w:lang w:val="en-US" w:eastAsia="zh-CN"/>
              </w:rPr>
              <w:t>10</w:t>
            </w:r>
            <w:r>
              <w:rPr>
                <w:rFonts w:hint="eastAsia"/>
                <w:color w:val="auto"/>
              </w:rPr>
              <w:t>分</w:t>
            </w:r>
            <w:r>
              <w:rPr>
                <w:rFonts w:hint="eastAsia"/>
                <w:color w:val="auto"/>
                <w:lang w:eastAsia="zh-CN"/>
              </w:rPr>
              <w:t>；</w:t>
            </w:r>
            <w:r>
              <w:rPr>
                <w:rFonts w:hint="eastAsia"/>
                <w:color w:val="auto"/>
              </w:rPr>
              <w:t>非“★”非“▲”的参数为一般参数（共</w:t>
            </w:r>
            <w:r>
              <w:rPr>
                <w:rFonts w:hint="eastAsia"/>
                <w:color w:val="auto"/>
                <w:lang w:val="en-US" w:eastAsia="zh-CN"/>
              </w:rPr>
              <w:t>8</w:t>
            </w:r>
            <w:r>
              <w:rPr>
                <w:rFonts w:hint="eastAsia"/>
                <w:color w:val="auto"/>
              </w:rPr>
              <w:t>条），每有一条负偏离的扣</w:t>
            </w:r>
            <w:r>
              <w:rPr>
                <w:rFonts w:hint="eastAsia"/>
                <w:color w:val="auto"/>
                <w:lang w:val="en-US" w:eastAsia="zh-CN"/>
              </w:rPr>
              <w:t>4</w:t>
            </w:r>
            <w:r>
              <w:rPr>
                <w:rFonts w:hint="eastAsia"/>
                <w:color w:val="auto"/>
              </w:rPr>
              <w:t>分，扣完为止。</w:t>
            </w:r>
          </w:p>
        </w:tc>
        <w:tc>
          <w:tcPr>
            <w:tcW w:w="643" w:type="dxa"/>
            <w:noWrap/>
            <w:vAlign w:val="center"/>
          </w:tcPr>
          <w:p>
            <w:pPr>
              <w:widowControl/>
              <w:wordWrap w:val="0"/>
              <w:spacing w:line="270" w:lineRule="atLeast"/>
              <w:jc w:val="left"/>
              <w:rPr>
                <w:color w:val="auto"/>
              </w:rPr>
            </w:pPr>
            <w:r>
              <w:rPr>
                <w:rFonts w:hint="eastAsia"/>
                <w:color w:va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408" w:type="dxa"/>
            <w:noWrap/>
            <w:vAlign w:val="center"/>
          </w:tcPr>
          <w:p>
            <w:pPr>
              <w:widowControl/>
              <w:wordWrap w:val="0"/>
              <w:spacing w:line="270" w:lineRule="atLeast"/>
              <w:jc w:val="center"/>
              <w:rPr>
                <w:color w:val="auto"/>
              </w:rPr>
            </w:pPr>
            <w:r>
              <w:rPr>
                <w:rFonts w:hint="eastAsia"/>
                <w:color w:val="auto"/>
              </w:rPr>
              <w:t>3</w:t>
            </w:r>
          </w:p>
        </w:tc>
        <w:tc>
          <w:tcPr>
            <w:tcW w:w="984" w:type="dxa"/>
            <w:noWrap/>
            <w:vAlign w:val="center"/>
          </w:tcPr>
          <w:p>
            <w:pPr>
              <w:widowControl/>
              <w:wordWrap w:val="0"/>
              <w:spacing w:line="270" w:lineRule="atLeast"/>
              <w:jc w:val="center"/>
              <w:rPr>
                <w:color w:val="auto"/>
              </w:rPr>
            </w:pPr>
            <w:r>
              <w:rPr>
                <w:rFonts w:hint="eastAsia"/>
                <w:color w:val="auto"/>
              </w:rPr>
              <w:t>供应商能力</w:t>
            </w:r>
          </w:p>
          <w:p>
            <w:pPr>
              <w:widowControl/>
              <w:wordWrap w:val="0"/>
              <w:spacing w:line="270" w:lineRule="atLeast"/>
              <w:jc w:val="center"/>
              <w:rPr>
                <w:color w:val="auto"/>
              </w:rPr>
            </w:pPr>
            <w:r>
              <w:rPr>
                <w:rFonts w:hint="eastAsia"/>
                <w:color w:val="auto"/>
              </w:rPr>
              <w:t>1</w:t>
            </w:r>
            <w:r>
              <w:rPr>
                <w:rFonts w:hint="eastAsia"/>
                <w:color w:val="auto"/>
                <w:lang w:val="en-US" w:eastAsia="zh-CN"/>
              </w:rPr>
              <w:t>4</w:t>
            </w:r>
            <w:r>
              <w:rPr>
                <w:rFonts w:hint="eastAsia"/>
                <w:color w:val="auto"/>
              </w:rPr>
              <w:t>%</w:t>
            </w:r>
          </w:p>
        </w:tc>
        <w:tc>
          <w:tcPr>
            <w:tcW w:w="480" w:type="dxa"/>
            <w:noWrap/>
            <w:vAlign w:val="center"/>
          </w:tcPr>
          <w:p>
            <w:pPr>
              <w:wordWrap w:val="0"/>
              <w:spacing w:line="270" w:lineRule="atLeast"/>
              <w:jc w:val="center"/>
              <w:rPr>
                <w:color w:val="auto"/>
              </w:rPr>
            </w:pPr>
            <w:r>
              <w:rPr>
                <w:rFonts w:hint="eastAsia"/>
                <w:color w:val="auto"/>
              </w:rPr>
              <w:t>1</w:t>
            </w:r>
            <w:r>
              <w:rPr>
                <w:rFonts w:hint="eastAsia"/>
                <w:color w:val="auto"/>
                <w:lang w:val="en-US" w:eastAsia="zh-CN"/>
              </w:rPr>
              <w:t>4</w:t>
            </w:r>
            <w:r>
              <w:rPr>
                <w:rFonts w:hint="eastAsia"/>
                <w:color w:val="auto"/>
              </w:rPr>
              <w:t>分</w:t>
            </w:r>
          </w:p>
        </w:tc>
        <w:tc>
          <w:tcPr>
            <w:tcW w:w="6648" w:type="dxa"/>
            <w:noWrap/>
            <w:vAlign w:val="center"/>
          </w:tcPr>
          <w:p>
            <w:pPr>
              <w:wordWrap w:val="0"/>
              <w:spacing w:line="270" w:lineRule="atLeast"/>
              <w:jc w:val="left"/>
              <w:rPr>
                <w:color w:val="auto"/>
              </w:rPr>
            </w:pPr>
            <w:r>
              <w:rPr>
                <w:rFonts w:hint="eastAsia"/>
                <w:color w:val="auto"/>
              </w:rPr>
              <w:t>提供投标产品2019年1月1日（含1日）以来国内三甲医院业绩证明，每提供1家业绩证明得2分，最多得1</w:t>
            </w:r>
            <w:r>
              <w:rPr>
                <w:rFonts w:hint="eastAsia"/>
                <w:color w:val="auto"/>
                <w:lang w:val="en-US" w:eastAsia="zh-CN"/>
              </w:rPr>
              <w:t>4</w:t>
            </w:r>
            <w:r>
              <w:rPr>
                <w:rFonts w:hint="eastAsia"/>
                <w:color w:val="auto"/>
              </w:rPr>
              <w:t>分。</w:t>
            </w:r>
          </w:p>
          <w:p>
            <w:pPr>
              <w:rPr>
                <w:color w:val="auto"/>
              </w:rPr>
            </w:pPr>
            <w:r>
              <w:rPr>
                <w:rFonts w:hint="eastAsia"/>
                <w:color w:val="auto"/>
              </w:rPr>
              <w:t>注：提供合同复印件或中标（成交/中选）通知书或发票复印件（若发票复印件上无产品明细则需附销货清单）加盖供应商公章，不提供不得分。</w:t>
            </w:r>
          </w:p>
        </w:tc>
        <w:tc>
          <w:tcPr>
            <w:tcW w:w="643" w:type="dxa"/>
            <w:noWrap/>
            <w:vAlign w:val="center"/>
          </w:tcPr>
          <w:p>
            <w:pPr>
              <w:wordWrap w:val="0"/>
              <w:spacing w:line="270" w:lineRule="atLeast"/>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08" w:type="dxa"/>
            <w:noWrap/>
            <w:vAlign w:val="center"/>
          </w:tcPr>
          <w:p>
            <w:pPr>
              <w:widowControl/>
              <w:wordWrap w:val="0"/>
              <w:spacing w:line="270" w:lineRule="atLeast"/>
              <w:jc w:val="center"/>
              <w:rPr>
                <w:color w:val="auto"/>
              </w:rPr>
            </w:pPr>
            <w:r>
              <w:rPr>
                <w:rFonts w:hint="eastAsia"/>
                <w:color w:val="auto"/>
              </w:rPr>
              <w:t>4</w:t>
            </w:r>
          </w:p>
        </w:tc>
        <w:tc>
          <w:tcPr>
            <w:tcW w:w="984" w:type="dxa"/>
            <w:noWrap/>
            <w:vAlign w:val="center"/>
          </w:tcPr>
          <w:p>
            <w:pPr>
              <w:widowControl/>
              <w:wordWrap w:val="0"/>
              <w:spacing w:line="270" w:lineRule="atLeast"/>
              <w:jc w:val="center"/>
              <w:rPr>
                <w:color w:val="auto"/>
              </w:rPr>
            </w:pPr>
            <w:r>
              <w:rPr>
                <w:rFonts w:hint="eastAsia"/>
                <w:color w:val="auto"/>
              </w:rPr>
              <w:t>售后服务体系</w:t>
            </w:r>
          </w:p>
          <w:p>
            <w:pPr>
              <w:widowControl/>
              <w:wordWrap w:val="0"/>
              <w:spacing w:line="270" w:lineRule="atLeast"/>
              <w:jc w:val="center"/>
              <w:rPr>
                <w:color w:val="auto"/>
              </w:rPr>
            </w:pPr>
            <w:r>
              <w:rPr>
                <w:rFonts w:hint="eastAsia"/>
                <w:color w:val="auto"/>
                <w:lang w:val="en-US" w:eastAsia="zh-CN"/>
              </w:rPr>
              <w:t>14</w:t>
            </w:r>
            <w:r>
              <w:rPr>
                <w:rFonts w:hint="eastAsia"/>
                <w:color w:val="auto"/>
              </w:rPr>
              <w:t>%</w:t>
            </w:r>
          </w:p>
        </w:tc>
        <w:tc>
          <w:tcPr>
            <w:tcW w:w="480" w:type="dxa"/>
            <w:noWrap/>
            <w:vAlign w:val="center"/>
          </w:tcPr>
          <w:p>
            <w:pPr>
              <w:spacing w:line="320" w:lineRule="atLeast"/>
              <w:ind w:left="-105" w:right="-107"/>
              <w:jc w:val="center"/>
              <w:rPr>
                <w:rFonts w:hint="eastAsia"/>
                <w:color w:val="auto"/>
                <w:lang w:val="en-US" w:eastAsia="zh-CN"/>
              </w:rPr>
            </w:pPr>
            <w:r>
              <w:rPr>
                <w:rFonts w:hint="eastAsia"/>
                <w:color w:val="auto"/>
                <w:lang w:val="en-US" w:eastAsia="zh-CN"/>
              </w:rPr>
              <w:t>14</w:t>
            </w:r>
          </w:p>
          <w:p>
            <w:pPr>
              <w:spacing w:line="320" w:lineRule="atLeast"/>
              <w:ind w:left="-105" w:right="-107"/>
              <w:jc w:val="center"/>
              <w:rPr>
                <w:color w:val="auto"/>
              </w:rPr>
            </w:pPr>
            <w:r>
              <w:rPr>
                <w:rFonts w:hint="eastAsia"/>
                <w:color w:val="auto"/>
              </w:rPr>
              <w:t>分</w:t>
            </w:r>
          </w:p>
        </w:tc>
        <w:tc>
          <w:tcPr>
            <w:tcW w:w="6648" w:type="dxa"/>
            <w:noWrap/>
            <w:vAlign w:val="center"/>
          </w:tcPr>
          <w:p>
            <w:pPr>
              <w:widowControl/>
              <w:wordWrap w:val="0"/>
              <w:jc w:val="left"/>
              <w:rPr>
                <w:color w:val="auto"/>
              </w:rPr>
            </w:pPr>
            <w:r>
              <w:rPr>
                <w:rFonts w:hint="eastAsia"/>
                <w:color w:val="auto"/>
              </w:rPr>
              <w:t>根据供应商提供的售后服务方案，包含：①售后服务承诺；②缺货应急方案；③人员培训方案；④产品彩页资料等四个方面进行评审，四个方面提供完整且描述详细，符合本项目实际情况、有利于项目实施的得</w:t>
            </w:r>
            <w:r>
              <w:rPr>
                <w:rFonts w:hint="eastAsia"/>
                <w:color w:val="auto"/>
                <w:lang w:val="en-US" w:eastAsia="zh-CN"/>
              </w:rPr>
              <w:t>14</w:t>
            </w:r>
            <w:r>
              <w:rPr>
                <w:rFonts w:hint="eastAsia"/>
                <w:color w:val="auto"/>
              </w:rPr>
              <w:t>分；每缺少一项或提供的方案与本项目无关的扣</w:t>
            </w:r>
            <w:r>
              <w:rPr>
                <w:rFonts w:hint="eastAsia"/>
                <w:color w:val="auto"/>
                <w:lang w:val="en-US" w:eastAsia="zh-CN"/>
              </w:rPr>
              <w:t>3.5</w:t>
            </w:r>
            <w:r>
              <w:rPr>
                <w:rFonts w:hint="eastAsia"/>
                <w:color w:val="auto"/>
              </w:rPr>
              <w:t>分；方案存在缺陷或不合理（缺陷和不合理是指存在不适用项目实际情况的情形、凭空编造、逻辑漏洞、科学原理错误以及不可能实现的夸大情形等)的扣</w:t>
            </w:r>
            <w:r>
              <w:rPr>
                <w:rFonts w:hint="eastAsia"/>
                <w:color w:val="auto"/>
                <w:lang w:val="en-US" w:eastAsia="zh-CN"/>
              </w:rPr>
              <w:t>2</w:t>
            </w:r>
            <w:r>
              <w:rPr>
                <w:rFonts w:hint="eastAsia"/>
                <w:color w:val="auto"/>
              </w:rPr>
              <w:t>分，分值扣完为止。</w:t>
            </w:r>
          </w:p>
        </w:tc>
        <w:tc>
          <w:tcPr>
            <w:tcW w:w="643" w:type="dxa"/>
            <w:noWrap/>
            <w:vAlign w:val="center"/>
          </w:tcPr>
          <w:p>
            <w:pPr>
              <w:widowControl/>
              <w:wordWrap w:val="0"/>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163" w:type="dxa"/>
            <w:gridSpan w:val="5"/>
            <w:noWrap/>
            <w:vAlign w:val="center"/>
          </w:tcPr>
          <w:p>
            <w:pPr>
              <w:widowControl/>
              <w:wordWrap w:val="0"/>
              <w:jc w:val="left"/>
              <w:rPr>
                <w:color w:val="auto"/>
              </w:rPr>
            </w:pPr>
            <w:r>
              <w:rPr>
                <w:rFonts w:hint="eastAsia"/>
                <w:color w:val="auto"/>
              </w:rPr>
              <w:t>注：①本表中所涉及的评审资料是响应文件的重要组成内容，未按要求提供或资料不全的将导致相应得分的丢失。②本表中所涉及的评审资料，投标人应当在投标文件中按要求提交原件或复印件，并对其真实性负责。③评分的取值按四舍五入法，保留小数点后两位。④涉及评审的资料都应当清晰可辨，对于模糊或分辨不明的资料，评审专家可以不予认可。</w:t>
            </w:r>
          </w:p>
        </w:tc>
      </w:tr>
    </w:tbl>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2" w:name="_Toc95295163"/>
      <w:bookmarkEnd w:id="2"/>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bl>
    <w:p>
      <w:pPr>
        <w:widowControl/>
        <w:shd w:val="clear" w:color="auto" w:fill="FFFFFF"/>
        <w:wordWrap w:val="0"/>
        <w:jc w:val="left"/>
        <w:rPr>
          <w:rFonts w:hint="eastAsia"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5"/>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5"/>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30AAD"/>
    <w:multiLevelType w:val="singleLevel"/>
    <w:tmpl w:val="66C30A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95D2073"/>
    <w:rsid w:val="51CB3FD0"/>
    <w:rsid w:val="5536063D"/>
    <w:rsid w:val="62FA0171"/>
    <w:rsid w:val="65C660E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Balloon Text"/>
    <w:basedOn w:val="1"/>
    <w:link w:val="20"/>
    <w:semiHidden/>
    <w:unhideWhenUsed/>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qFormat/>
    <w:uiPriority w:val="99"/>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uiPriority w:val="99"/>
    <w:rPr>
      <w:sz w:val="21"/>
      <w:szCs w:val="21"/>
    </w:rPr>
  </w:style>
  <w:style w:type="character" w:customStyle="1" w:styleId="15">
    <w:name w:val="页眉 Char"/>
    <w:basedOn w:val="13"/>
    <w:link w:val="8"/>
    <w:semiHidden/>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4"/>
    <w:semiHidden/>
    <w:qFormat/>
    <w:uiPriority w:val="99"/>
  </w:style>
  <w:style w:type="character" w:customStyle="1" w:styleId="19">
    <w:name w:val="批注主题 Char"/>
    <w:basedOn w:val="18"/>
    <w:link w:val="10"/>
    <w:semiHidden/>
    <w:uiPriority w:val="99"/>
    <w:rPr>
      <w:b/>
      <w:bCs/>
    </w:rPr>
  </w:style>
  <w:style w:type="character" w:customStyle="1" w:styleId="20">
    <w:name w:val="批注框文本 Char"/>
    <w:basedOn w:val="13"/>
    <w:link w:val="6"/>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2022-12-07T03:47:07Z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