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附件1：</w:t>
      </w:r>
    </w:p>
    <w:p>
      <w:pPr>
        <w:pStyle w:val="9"/>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rPr>
        <w:t>危化品</w:t>
      </w:r>
      <w:r>
        <w:rPr>
          <w:rFonts w:hint="eastAsia" w:ascii="方正小标宋简体" w:hAnsi="楷体" w:eastAsia="方正小标宋简体" w:cs="仿宋_GB2312"/>
          <w:bCs/>
          <w:color w:val="000000"/>
          <w:sz w:val="36"/>
          <w:szCs w:val="36"/>
          <w:lang w:eastAsia="zh-CN"/>
        </w:rPr>
        <w:t>、气瓶</w:t>
      </w:r>
      <w:r>
        <w:rPr>
          <w:rFonts w:hint="eastAsia" w:ascii="方正小标宋简体" w:hAnsi="楷体" w:eastAsia="方正小标宋简体" w:cs="仿宋_GB2312"/>
          <w:bCs/>
          <w:color w:val="000000"/>
          <w:sz w:val="36"/>
          <w:szCs w:val="36"/>
        </w:rPr>
        <w:t>存放柜采购要求</w:t>
      </w:r>
    </w:p>
    <w:p>
      <w:pPr>
        <w:pStyle w:val="9"/>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9"/>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rPr>
        <w:t>危化品</w:t>
      </w:r>
      <w:r>
        <w:rPr>
          <w:rFonts w:hint="eastAsia" w:ascii="仿宋_GB2312" w:eastAsia="仿宋_GB2312"/>
          <w:sz w:val="28"/>
          <w:szCs w:val="28"/>
          <w:lang w:eastAsia="zh-CN"/>
        </w:rPr>
        <w:t>、气瓶</w:t>
      </w:r>
      <w:r>
        <w:rPr>
          <w:rFonts w:hint="eastAsia" w:ascii="仿宋_GB2312" w:eastAsia="仿宋_GB2312"/>
          <w:sz w:val="28"/>
          <w:szCs w:val="28"/>
        </w:rPr>
        <w:t>存放柜</w:t>
      </w:r>
      <w:r>
        <w:rPr>
          <w:rFonts w:hint="eastAsia" w:ascii="仿宋" w:hAnsi="仿宋" w:eastAsia="仿宋" w:cs="仿宋"/>
          <w:bCs/>
          <w:color w:val="000000"/>
          <w:sz w:val="28"/>
          <w:szCs w:val="28"/>
        </w:rPr>
        <w:t>采购</w:t>
      </w:r>
    </w:p>
    <w:p>
      <w:pPr>
        <w:pStyle w:val="9"/>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晋阳院区、天府院区</w:t>
      </w:r>
    </w:p>
    <w:p>
      <w:pPr>
        <w:pStyle w:val="9"/>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pStyle w:val="9"/>
        <w:widowControl/>
        <w:spacing w:line="440" w:lineRule="exact"/>
        <w:rPr>
          <w:rFonts w:hint="default" w:ascii="仿宋" w:hAnsi="仿宋" w:eastAsia="仿宋_GB2312" w:cs="仿宋"/>
          <w:bCs/>
          <w:color w:val="000000"/>
          <w:sz w:val="28"/>
          <w:szCs w:val="28"/>
          <w:lang w:val="en-US" w:eastAsia="zh-CN"/>
        </w:rPr>
      </w:pPr>
      <w:r>
        <w:rPr>
          <w:rFonts w:hint="eastAsia" w:ascii="仿宋" w:hAnsi="仿宋" w:eastAsia="仿宋" w:cs="仿宋"/>
          <w:bCs/>
          <w:color w:val="000000"/>
          <w:sz w:val="28"/>
          <w:szCs w:val="28"/>
        </w:rPr>
        <w:t>1.</w:t>
      </w:r>
      <w:r>
        <w:rPr>
          <w:rFonts w:hint="eastAsia" w:ascii="仿宋_GB2312" w:eastAsia="仿宋_GB2312"/>
          <w:sz w:val="28"/>
          <w:szCs w:val="28"/>
        </w:rPr>
        <w:t>危化品存放柜1个</w:t>
      </w:r>
      <w:r>
        <w:rPr>
          <w:rFonts w:hint="eastAsia" w:ascii="仿宋_GB2312" w:eastAsia="仿宋_GB2312"/>
          <w:sz w:val="28"/>
          <w:szCs w:val="28"/>
          <w:lang w:eastAsia="zh-CN"/>
        </w:rPr>
        <w:t>，尺寸：</w:t>
      </w:r>
      <w:r>
        <w:rPr>
          <w:rFonts w:hint="eastAsia" w:ascii="仿宋_GB2312" w:eastAsia="仿宋_GB2312"/>
          <w:sz w:val="28"/>
          <w:szCs w:val="28"/>
          <w:lang w:val="en-US" w:eastAsia="zh-CN"/>
        </w:rPr>
        <w:t>109cm*46cm*165cm，</w:t>
      </w:r>
      <w:r>
        <w:rPr>
          <w:rFonts w:hint="eastAsia" w:ascii="仿宋_GB2312" w:eastAsia="仿宋_GB2312"/>
          <w:sz w:val="28"/>
          <w:szCs w:val="28"/>
        </w:rPr>
        <w:t>预算控制价：4000元。</w:t>
      </w:r>
    </w:p>
    <w:p>
      <w:pPr>
        <w:pStyle w:val="21"/>
        <w:spacing w:line="360" w:lineRule="auto"/>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气瓶柜</w:t>
      </w:r>
      <w:r>
        <w:rPr>
          <w:rFonts w:hint="eastAsia" w:ascii="仿宋_GB2312" w:eastAsia="仿宋_GB2312"/>
          <w:sz w:val="28"/>
          <w:szCs w:val="28"/>
          <w:lang w:val="en-US" w:eastAsia="zh-CN"/>
        </w:rPr>
        <w:t>2个，尺寸：90cm*45cm*190cm，</w:t>
      </w:r>
      <w:r>
        <w:rPr>
          <w:rFonts w:hint="eastAsia" w:ascii="仿宋_GB2312" w:eastAsia="仿宋_GB2312"/>
          <w:sz w:val="28"/>
          <w:szCs w:val="28"/>
        </w:rPr>
        <w:t>预算控制价：</w:t>
      </w:r>
      <w:r>
        <w:rPr>
          <w:rFonts w:hint="eastAsia" w:ascii="仿宋_GB2312" w:eastAsia="仿宋_GB2312"/>
          <w:sz w:val="28"/>
          <w:szCs w:val="28"/>
          <w:lang w:val="en-US" w:eastAsia="zh-CN"/>
        </w:rPr>
        <w:t>6</w:t>
      </w:r>
      <w:r>
        <w:rPr>
          <w:rFonts w:hint="eastAsia" w:ascii="仿宋_GB2312" w:eastAsia="仿宋_GB2312"/>
          <w:sz w:val="28"/>
          <w:szCs w:val="28"/>
        </w:rPr>
        <w:t>000元。</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21"/>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lang w:eastAsia="zh-CN"/>
        </w:rPr>
        <w:t>其它</w:t>
      </w:r>
      <w:r>
        <w:rPr>
          <w:rFonts w:hint="eastAsia" w:ascii="黑体" w:hAnsi="黑体" w:eastAsia="黑体"/>
          <w:sz w:val="28"/>
          <w:szCs w:val="28"/>
        </w:rPr>
        <w:t>要求</w:t>
      </w:r>
      <w:bookmarkStart w:id="0" w:name="_GoBack"/>
      <w:bookmarkEnd w:id="0"/>
    </w:p>
    <w:p>
      <w:pPr>
        <w:widowControl/>
        <w:numPr>
          <w:ilvl w:val="0"/>
          <w:numId w:val="0"/>
        </w:numPr>
        <w:spacing w:line="360" w:lineRule="auto"/>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lang w:eastAsia="zh-CN"/>
        </w:rPr>
        <w:t>送货及安装时间：合同签订之日起</w:t>
      </w:r>
      <w:r>
        <w:rPr>
          <w:rFonts w:hint="eastAsia" w:ascii="仿宋_GB2312" w:hAnsi="宋体" w:eastAsia="仿宋_GB2312" w:cs="宋体"/>
          <w:color w:val="000000"/>
          <w:kern w:val="0"/>
          <w:sz w:val="28"/>
          <w:szCs w:val="28"/>
          <w:lang w:val="en-US" w:eastAsia="zh-CN"/>
        </w:rPr>
        <w:t>7日内；</w:t>
      </w:r>
    </w:p>
    <w:p>
      <w:pPr>
        <w:widowControl/>
        <w:numPr>
          <w:ilvl w:val="0"/>
          <w:numId w:val="0"/>
        </w:numPr>
        <w:spacing w:line="360" w:lineRule="auto"/>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lang w:eastAsia="zh-CN"/>
        </w:rPr>
        <w:t>质保期限、服务内容（提供服务承诺书）</w:t>
      </w: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21"/>
        <w:spacing w:line="440" w:lineRule="exact"/>
        <w:rPr>
          <w:rFonts w:ascii="仿宋_GB2312" w:eastAsia="仿宋_GB2312"/>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9"/>
        <w:widowControl/>
        <w:spacing w:line="440" w:lineRule="atLeast"/>
        <w:rPr>
          <w:rFonts w:ascii="黑体" w:hAnsi="黑体" w:eastAsia="黑体" w:cs="仿宋"/>
          <w:color w:val="000000"/>
          <w:sz w:val="28"/>
          <w:szCs w:val="28"/>
        </w:rPr>
      </w:pP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11"/>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9"/>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ascii="宋体" w:hAnsi="宋体" w:cs="宋体"/>
          <w:sz w:val="28"/>
          <w:szCs w:val="28"/>
        </w:rPr>
      </w:pPr>
      <w:r>
        <w:rPr>
          <w:rFonts w:hint="eastAsia" w:ascii="宋体" w:hAnsi="宋体" w:cs="宋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5"/>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5"/>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adjustRightInd w:val="0"/>
        <w:snapToGrid w:val="0"/>
        <w:spacing w:line="276" w:lineRule="auto"/>
        <w:rPr>
          <w:rFonts w:ascii="仿宋_GB2312" w:hAnsi="宋体" w:eastAsia="仿宋_GB2312" w:cs="宋体"/>
          <w:sz w:val="28"/>
          <w:szCs w:val="28"/>
        </w:rPr>
      </w:pP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5"/>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1NDA1ZmVjZTgwYjg0NDlhY2E1OTNhMmIxN2FmYTcifQ=="/>
  </w:docVars>
  <w:rsids>
    <w:rsidRoot w:val="00CD1793"/>
    <w:rsid w:val="000824CD"/>
    <w:rsid w:val="000B6E1D"/>
    <w:rsid w:val="000C0965"/>
    <w:rsid w:val="0011542D"/>
    <w:rsid w:val="001920D0"/>
    <w:rsid w:val="002C4A98"/>
    <w:rsid w:val="004655EC"/>
    <w:rsid w:val="0052515D"/>
    <w:rsid w:val="005637D3"/>
    <w:rsid w:val="007C2867"/>
    <w:rsid w:val="007F4109"/>
    <w:rsid w:val="00810A96"/>
    <w:rsid w:val="00846588"/>
    <w:rsid w:val="008B71F5"/>
    <w:rsid w:val="00A12068"/>
    <w:rsid w:val="00A450B9"/>
    <w:rsid w:val="00A502F4"/>
    <w:rsid w:val="00BE3F6B"/>
    <w:rsid w:val="00C81DCB"/>
    <w:rsid w:val="00CD1793"/>
    <w:rsid w:val="00EF6E0E"/>
    <w:rsid w:val="00F44593"/>
    <w:rsid w:val="00F463F6"/>
    <w:rsid w:val="00F95FF3"/>
    <w:rsid w:val="00FB00FE"/>
    <w:rsid w:val="00FB7A19"/>
    <w:rsid w:val="161436A8"/>
    <w:rsid w:val="25850238"/>
    <w:rsid w:val="2F3804D2"/>
    <w:rsid w:val="404C0888"/>
    <w:rsid w:val="491141BB"/>
    <w:rsid w:val="65751F8D"/>
    <w:rsid w:val="75CB65B2"/>
    <w:rsid w:val="7B85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7"/>
    <w:semiHidden/>
    <w:unhideWhenUsed/>
    <w:qFormat/>
    <w:uiPriority w:val="99"/>
    <w:pPr>
      <w:jc w:val="left"/>
    </w:pPr>
  </w:style>
  <w:style w:type="paragraph" w:styleId="5">
    <w:name w:val="Body Text"/>
    <w:basedOn w:val="1"/>
    <w:next w:val="1"/>
    <w:link w:val="22"/>
    <w:unhideWhenUsed/>
    <w:qFormat/>
    <w:uiPriority w:val="99"/>
    <w:pPr>
      <w:spacing w:after="120"/>
    </w:pPr>
    <w:rPr>
      <w:rFonts w:ascii="Calibri" w:hAnsi="Calibri" w:eastAsia="宋体" w:cs="Times New Roman"/>
      <w:szCs w:val="24"/>
    </w:rPr>
  </w:style>
  <w:style w:type="paragraph" w:styleId="6">
    <w:name w:val="Body Text Indent"/>
    <w:basedOn w:val="1"/>
    <w:link w:val="15"/>
    <w:qFormat/>
    <w:uiPriority w:val="0"/>
    <w:pPr>
      <w:ind w:left="567" w:leftChars="270"/>
    </w:pPr>
    <w:rPr>
      <w:rFonts w:ascii="Calibri" w:hAnsi="Calibri"/>
      <w:kern w:val="0"/>
      <w:sz w:val="20"/>
      <w:szCs w:val="20"/>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Body Text First Indent 2"/>
    <w:basedOn w:val="6"/>
    <w:link w:val="16"/>
    <w:qFormat/>
    <w:uiPriority w:val="0"/>
    <w:pPr>
      <w:tabs>
        <w:tab w:val="left" w:pos="2700"/>
      </w:tabs>
      <w:ind w:firstLine="42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正文文本缩进 Char"/>
    <w:basedOn w:val="13"/>
    <w:link w:val="6"/>
    <w:qFormat/>
    <w:uiPriority w:val="0"/>
    <w:rPr>
      <w:rFonts w:ascii="Calibri" w:hAnsi="Calibri"/>
    </w:rPr>
  </w:style>
  <w:style w:type="character" w:customStyle="1" w:styleId="16">
    <w:name w:val="正文首行缩进 2 Char"/>
    <w:basedOn w:val="15"/>
    <w:link w:val="10"/>
    <w:qFormat/>
    <w:uiPriority w:val="0"/>
  </w:style>
  <w:style w:type="character" w:customStyle="1" w:styleId="17">
    <w:name w:val="批注文字 Char"/>
    <w:basedOn w:val="13"/>
    <w:link w:val="4"/>
    <w:semiHidden/>
    <w:qFormat/>
    <w:uiPriority w:val="99"/>
    <w:rPr>
      <w:kern w:val="2"/>
      <w:sz w:val="21"/>
      <w:szCs w:val="22"/>
    </w:rPr>
  </w:style>
  <w:style w:type="paragraph" w:customStyle="1" w:styleId="18">
    <w:name w:val="p0"/>
    <w:basedOn w:val="1"/>
    <w:qFormat/>
    <w:uiPriority w:val="0"/>
    <w:pPr>
      <w:widowControl/>
    </w:pPr>
    <w:rPr>
      <w:rFonts w:ascii="Calibri" w:hAnsi="Calibri" w:cs="宋体"/>
      <w:kern w:val="0"/>
      <w:szCs w:val="21"/>
    </w:rPr>
  </w:style>
  <w:style w:type="character" w:customStyle="1" w:styleId="19">
    <w:name w:val="页眉 Char"/>
    <w:basedOn w:val="13"/>
    <w:link w:val="8"/>
    <w:semiHidden/>
    <w:qFormat/>
    <w:uiPriority w:val="99"/>
    <w:rPr>
      <w:kern w:val="2"/>
      <w:sz w:val="18"/>
      <w:szCs w:val="18"/>
    </w:rPr>
  </w:style>
  <w:style w:type="character" w:customStyle="1" w:styleId="20">
    <w:name w:val="页脚 Char"/>
    <w:basedOn w:val="13"/>
    <w:link w:val="7"/>
    <w:semiHidden/>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正文文本 Char"/>
    <w:basedOn w:val="13"/>
    <w:link w:val="5"/>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2558</Words>
  <Characters>2627</Characters>
  <Lines>20</Lines>
  <Paragraphs>5</Paragraphs>
  <TotalTime>1</TotalTime>
  <ScaleCrop>false</ScaleCrop>
  <LinksUpToDate>false</LinksUpToDate>
  <CharactersWithSpaces>2748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2022-11-02T08:32:00Z</dcterms:created>
  <dc:creator>a</dc:creator>
  <cp:lastModifiedBy>Administrator</cp:lastModifiedBy>
  <dcterms:modified xsi:type="dcterms:W3CDTF">2022-12-07T03:24:30Z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50F99F6E471E42D4BE74247872BB6D09</vt:lpwstr>
  </property>
</Properties>
</file>