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采购项目编号：SCFY-YXZB202212-013（磋）</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46</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1"/>
        <w:tblW w:w="9043" w:type="dxa"/>
        <w:jc w:val="center"/>
        <w:tblLayout w:type="fixed"/>
        <w:tblCellMar>
          <w:top w:w="0" w:type="dxa"/>
          <w:left w:w="0" w:type="dxa"/>
          <w:bottom w:w="0" w:type="dxa"/>
          <w:right w:w="0" w:type="dxa"/>
        </w:tblCellMar>
      </w:tblPr>
      <w:tblGrid>
        <w:gridCol w:w="304"/>
        <w:gridCol w:w="1280"/>
        <w:gridCol w:w="948"/>
        <w:gridCol w:w="6511"/>
      </w:tblGrid>
      <w:tr>
        <w:tblPrEx>
          <w:tblCellMar>
            <w:top w:w="0" w:type="dxa"/>
            <w:left w:w="0" w:type="dxa"/>
            <w:bottom w:w="0" w:type="dxa"/>
            <w:right w:w="0" w:type="dxa"/>
          </w:tblCellMar>
        </w:tblPrEx>
        <w:trPr>
          <w:trHeight w:val="860" w:hRule="atLeast"/>
          <w:jc w:val="center"/>
        </w:trPr>
        <w:tc>
          <w:tcPr>
            <w:tcW w:w="30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lang w:val="en-US" w:eastAsia="zh-CN"/>
              </w:rPr>
            </w:pPr>
            <w:r>
              <w:rPr>
                <w:rFonts w:hint="eastAsia"/>
                <w:lang w:val="en-US" w:eastAsia="zh-CN"/>
              </w:rPr>
              <w:t>序号</w:t>
            </w:r>
          </w:p>
        </w:tc>
        <w:tc>
          <w:tcPr>
            <w:tcW w:w="12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产品名称</w:t>
            </w:r>
          </w:p>
        </w:tc>
        <w:tc>
          <w:tcPr>
            <w:tcW w:w="94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预估年</w:t>
            </w:r>
            <w:r>
              <w:rPr>
                <w:rFonts w:hint="eastAsia"/>
                <w:lang w:val="en-US" w:eastAsia="zh-CN"/>
              </w:rPr>
              <w:t>采购数</w:t>
            </w:r>
            <w:r>
              <w:rPr>
                <w:rFonts w:hint="eastAsia"/>
              </w:rPr>
              <w:t>量</w:t>
            </w:r>
          </w:p>
        </w:tc>
        <w:tc>
          <w:tcPr>
            <w:tcW w:w="65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pPr>
            <w:r>
              <w:rPr>
                <w:rFonts w:hint="eastAsia"/>
              </w:rPr>
              <w:t>技术参数要求</w:t>
            </w:r>
          </w:p>
        </w:tc>
      </w:tr>
      <w:tr>
        <w:tblPrEx>
          <w:tblCellMar>
            <w:top w:w="0" w:type="dxa"/>
            <w:left w:w="0" w:type="dxa"/>
            <w:bottom w:w="0" w:type="dxa"/>
            <w:right w:w="0" w:type="dxa"/>
          </w:tblCellMar>
        </w:tblPrEx>
        <w:trPr>
          <w:trHeight w:val="90" w:hRule="atLeast"/>
          <w:jc w:val="center"/>
        </w:trPr>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一次性麻醉穿刺包</w:t>
            </w:r>
          </w:p>
          <w:p>
            <w:pPr>
              <w:widowControl/>
              <w:jc w:val="center"/>
              <w:textAlignment w:val="center"/>
              <w:rPr>
                <w:rFonts w:hint="default"/>
                <w:lang w:val="en-US" w:eastAsia="zh-CN"/>
              </w:rPr>
            </w:pPr>
            <w:r>
              <w:rPr>
                <w:rFonts w:hint="eastAsia"/>
                <w:lang w:val="en-US" w:eastAsia="zh-CN"/>
              </w:rPr>
              <w:t>（硬麻包）</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olor w:val="auto"/>
                <w:lang w:val="en-US" w:eastAsia="zh-CN"/>
              </w:rPr>
            </w:pPr>
            <w:r>
              <w:rPr>
                <w:rFonts w:hint="eastAsia"/>
                <w:color w:val="auto"/>
                <w:lang w:val="en-US" w:eastAsia="zh-CN"/>
              </w:rPr>
              <w:t>2100</w:t>
            </w:r>
          </w:p>
        </w:tc>
        <w:tc>
          <w:tcPr>
            <w:tcW w:w="6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rPr>
                <w:rFonts w:hint="eastAsia"/>
                <w:lang w:val="en-US" w:eastAsia="zh-CN"/>
              </w:rPr>
            </w:pPr>
            <w:r>
              <w:rPr>
                <w:rFonts w:hint="eastAsia"/>
                <w:lang w:val="en-US" w:eastAsia="zh-CN"/>
              </w:rPr>
              <w:t>1.用于对患者做硬脊膜外神经组织麻醉方法进行穿刺、注射药物。</w:t>
            </w:r>
          </w:p>
          <w:p>
            <w:pPr>
              <w:widowControl/>
              <w:numPr>
                <w:ilvl w:val="0"/>
                <w:numId w:val="0"/>
              </w:numPr>
              <w:jc w:val="left"/>
              <w:textAlignment w:val="center"/>
              <w:rPr>
                <w:rFonts w:hint="eastAsia"/>
                <w:lang w:val="en-US" w:eastAsia="zh-CN"/>
              </w:rPr>
            </w:pPr>
            <w:r>
              <w:rPr>
                <w:rFonts w:hint="eastAsia"/>
                <w:lang w:val="en-US" w:eastAsia="zh-CN"/>
              </w:rPr>
              <w:t>2.由麻醉导管、硬膜外穿刺针、药液过滤器、导管接头等组成。</w:t>
            </w:r>
          </w:p>
          <w:p>
            <w:pPr>
              <w:widowControl/>
              <w:numPr>
                <w:ilvl w:val="0"/>
                <w:numId w:val="0"/>
              </w:numPr>
              <w:jc w:val="left"/>
              <w:textAlignment w:val="center"/>
              <w:rPr>
                <w:rFonts w:hint="eastAsia"/>
                <w:lang w:val="en-US" w:eastAsia="zh-CN"/>
              </w:rPr>
            </w:pPr>
            <w:r>
              <w:rPr>
                <w:rFonts w:hint="eastAsia"/>
                <w:lang w:val="en-US" w:eastAsia="zh-CN"/>
              </w:rPr>
              <w:t>★3.麻醉导管弹性韧性优，抗断裂力大＞25N。</w:t>
            </w:r>
          </w:p>
          <w:p>
            <w:pPr>
              <w:widowControl/>
              <w:numPr>
                <w:ilvl w:val="0"/>
                <w:numId w:val="0"/>
              </w:numPr>
              <w:jc w:val="left"/>
              <w:textAlignment w:val="center"/>
              <w:rPr>
                <w:rFonts w:hint="eastAsia"/>
                <w:lang w:val="en-US" w:eastAsia="zh-CN"/>
              </w:rPr>
            </w:pPr>
            <w:r>
              <w:rPr>
                <w:rFonts w:hint="eastAsia"/>
                <w:lang w:val="en-US" w:eastAsia="zh-CN"/>
              </w:rPr>
              <w:t>4.麻醉导管带刻度标识，方便了解植入尺寸。</w:t>
            </w:r>
          </w:p>
          <w:p>
            <w:pPr>
              <w:widowControl/>
              <w:numPr>
                <w:ilvl w:val="0"/>
                <w:numId w:val="0"/>
              </w:numPr>
              <w:jc w:val="left"/>
              <w:textAlignment w:val="center"/>
              <w:rPr>
                <w:rFonts w:hint="eastAsia"/>
                <w:lang w:val="en-US" w:eastAsia="zh-CN"/>
              </w:rPr>
            </w:pPr>
            <w:r>
              <w:rPr>
                <w:rFonts w:hint="eastAsia"/>
                <w:lang w:val="en-US" w:eastAsia="zh-CN"/>
              </w:rPr>
              <w:t>5.穿刺针材质为医用不锈钢、刻度明显、内外壁光滑、锋利度10-15N。</w:t>
            </w:r>
          </w:p>
          <w:p>
            <w:pPr>
              <w:widowControl/>
              <w:numPr>
                <w:ilvl w:val="0"/>
                <w:numId w:val="0"/>
              </w:numPr>
              <w:jc w:val="left"/>
              <w:textAlignment w:val="center"/>
              <w:rPr>
                <w:rFonts w:hint="default"/>
                <w:lang w:val="en-US" w:eastAsia="zh-CN"/>
              </w:rPr>
            </w:pPr>
            <w:r>
              <w:rPr>
                <w:rFonts w:hint="eastAsia"/>
                <w:lang w:val="en-US" w:eastAsia="zh-CN"/>
              </w:rPr>
              <w:t>6.药液过滤器滤除介质标准孔径≤2um，滤除率≥90% 。</w:t>
            </w:r>
          </w:p>
          <w:p>
            <w:pPr>
              <w:widowControl/>
              <w:numPr>
                <w:ilvl w:val="0"/>
                <w:numId w:val="0"/>
              </w:numPr>
              <w:jc w:val="left"/>
              <w:textAlignment w:val="center"/>
              <w:rPr>
                <w:rFonts w:hint="eastAsia"/>
                <w:lang w:val="en-US" w:eastAsia="zh-CN"/>
              </w:rPr>
            </w:pPr>
            <w:r>
              <w:rPr>
                <w:rFonts w:hint="eastAsia"/>
                <w:lang w:val="en-US" w:eastAsia="zh-CN"/>
              </w:rPr>
              <w:t>7.器械内麻醉药液残留量≤1ml。</w:t>
            </w:r>
          </w:p>
          <w:p>
            <w:pPr>
              <w:widowControl/>
              <w:numPr>
                <w:ilvl w:val="0"/>
                <w:numId w:val="0"/>
              </w:numPr>
              <w:jc w:val="left"/>
              <w:textAlignment w:val="center"/>
              <w:rPr>
                <w:rFonts w:hint="default"/>
                <w:lang w:val="en-US" w:eastAsia="zh-CN"/>
              </w:rPr>
            </w:pPr>
            <w:r>
              <w:rPr>
                <w:rFonts w:hint="eastAsia"/>
                <w:lang w:val="en-US" w:eastAsia="zh-CN"/>
              </w:rPr>
              <w:t>8.包装：敷料与器械分隔放置，放置交叉污染。</w:t>
            </w:r>
          </w:p>
          <w:p>
            <w:pPr>
              <w:widowControl/>
              <w:numPr>
                <w:ilvl w:val="0"/>
                <w:numId w:val="0"/>
              </w:numPr>
              <w:jc w:val="left"/>
              <w:textAlignment w:val="center"/>
              <w:rPr>
                <w:rFonts w:hint="default"/>
                <w:lang w:val="en-US" w:eastAsia="zh-CN"/>
              </w:rPr>
            </w:pPr>
            <w:r>
              <w:rPr>
                <w:rFonts w:hint="eastAsia"/>
                <w:lang w:val="en-US" w:eastAsia="zh-CN"/>
              </w:rPr>
              <w:t>9.环氧乙烷灭菌，一次性使用。</w:t>
            </w:r>
          </w:p>
        </w:tc>
      </w:tr>
      <w:tr>
        <w:tblPrEx>
          <w:tblCellMar>
            <w:top w:w="0" w:type="dxa"/>
            <w:left w:w="0" w:type="dxa"/>
            <w:bottom w:w="0" w:type="dxa"/>
            <w:right w:w="0" w:type="dxa"/>
          </w:tblCellMar>
        </w:tblPrEx>
        <w:trPr>
          <w:trHeight w:val="90" w:hRule="atLeast"/>
          <w:jc w:val="center"/>
        </w:trPr>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一次性麻醉穿刺包</w:t>
            </w:r>
          </w:p>
          <w:p>
            <w:pPr>
              <w:widowControl/>
              <w:jc w:val="center"/>
              <w:textAlignment w:val="center"/>
              <w:rPr>
                <w:rFonts w:hint="default"/>
                <w:lang w:val="en-US" w:eastAsia="zh-CN"/>
              </w:rPr>
            </w:pPr>
            <w:r>
              <w:rPr>
                <w:rFonts w:hint="eastAsia"/>
                <w:lang w:val="en-US" w:eastAsia="zh-CN"/>
              </w:rPr>
              <w:t>（联麻包）</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olor w:val="auto"/>
                <w:lang w:val="en-US" w:eastAsia="zh-CN"/>
              </w:rPr>
            </w:pPr>
            <w:r>
              <w:rPr>
                <w:rFonts w:hint="eastAsia"/>
                <w:color w:val="auto"/>
                <w:lang w:val="en-US" w:eastAsia="zh-CN"/>
              </w:rPr>
              <w:t>3250</w:t>
            </w:r>
          </w:p>
        </w:tc>
        <w:tc>
          <w:tcPr>
            <w:tcW w:w="6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rPr>
                <w:rFonts w:hint="eastAsia"/>
                <w:lang w:val="en-US" w:eastAsia="zh-CN"/>
              </w:rPr>
            </w:pPr>
            <w:r>
              <w:rPr>
                <w:rFonts w:hint="eastAsia"/>
                <w:lang w:val="en-US" w:eastAsia="zh-CN"/>
              </w:rPr>
              <w:t>1.用于做硬脊膜外腔和蛛网膜下腔联合麻醉时进行穿刺、注射药物。</w:t>
            </w:r>
          </w:p>
          <w:p>
            <w:pPr>
              <w:widowControl/>
              <w:numPr>
                <w:ilvl w:val="0"/>
                <w:numId w:val="0"/>
              </w:numPr>
              <w:jc w:val="left"/>
              <w:textAlignment w:val="center"/>
              <w:rPr>
                <w:rFonts w:hint="eastAsia"/>
                <w:lang w:val="en-US" w:eastAsia="zh-CN"/>
              </w:rPr>
            </w:pPr>
            <w:r>
              <w:rPr>
                <w:rFonts w:hint="eastAsia"/>
                <w:lang w:val="en-US" w:eastAsia="zh-CN"/>
              </w:rPr>
              <w:t>2.由麻醉导管、硬膜外穿刺针、腰椎穿刺针、药液过滤器、导管接头等组成。</w:t>
            </w:r>
          </w:p>
          <w:p>
            <w:pPr>
              <w:widowControl/>
              <w:numPr>
                <w:ilvl w:val="0"/>
                <w:numId w:val="0"/>
              </w:numPr>
              <w:jc w:val="left"/>
              <w:textAlignment w:val="center"/>
              <w:rPr>
                <w:rFonts w:hint="eastAsia"/>
                <w:lang w:val="en-US" w:eastAsia="zh-CN"/>
              </w:rPr>
            </w:pPr>
            <w:r>
              <w:rPr>
                <w:rFonts w:hint="eastAsia"/>
                <w:lang w:val="en-US" w:eastAsia="zh-CN"/>
              </w:rPr>
              <w:t>★3.麻醉导管弹性韧性优，抗断裂力大＞25N。</w:t>
            </w:r>
          </w:p>
          <w:p>
            <w:pPr>
              <w:widowControl/>
              <w:numPr>
                <w:ilvl w:val="0"/>
                <w:numId w:val="0"/>
              </w:numPr>
              <w:jc w:val="left"/>
              <w:textAlignment w:val="center"/>
              <w:rPr>
                <w:rFonts w:hint="eastAsia"/>
                <w:lang w:val="en-US" w:eastAsia="zh-CN"/>
              </w:rPr>
            </w:pPr>
            <w:r>
              <w:rPr>
                <w:rFonts w:hint="eastAsia"/>
                <w:lang w:val="en-US" w:eastAsia="zh-CN"/>
              </w:rPr>
              <w:t>4.麻醉导管带刻度标识，方便了解植入尺寸。</w:t>
            </w:r>
          </w:p>
          <w:p>
            <w:pPr>
              <w:widowControl/>
              <w:numPr>
                <w:ilvl w:val="0"/>
                <w:numId w:val="0"/>
              </w:numPr>
              <w:jc w:val="left"/>
              <w:textAlignment w:val="center"/>
              <w:rPr>
                <w:rFonts w:hint="eastAsia"/>
                <w:lang w:val="en-US" w:eastAsia="zh-CN"/>
              </w:rPr>
            </w:pPr>
            <w:r>
              <w:rPr>
                <w:rFonts w:hint="eastAsia"/>
                <w:lang w:val="en-US" w:eastAsia="zh-CN"/>
              </w:rPr>
              <w:t>5.硬膜穿刺针材质为医用不锈钢、刻度明显、内外壁光滑、锋利度10-15N。</w:t>
            </w:r>
          </w:p>
          <w:p>
            <w:pPr>
              <w:widowControl/>
              <w:numPr>
                <w:ilvl w:val="0"/>
                <w:numId w:val="0"/>
              </w:numPr>
              <w:jc w:val="left"/>
              <w:textAlignment w:val="center"/>
              <w:rPr>
                <w:rFonts w:hint="default"/>
                <w:lang w:val="en-US" w:eastAsia="zh-CN"/>
              </w:rPr>
            </w:pPr>
            <w:r>
              <w:rPr>
                <w:rFonts w:hint="eastAsia"/>
                <w:lang w:val="en-US" w:eastAsia="zh-CN"/>
              </w:rPr>
              <w:t>6.腰椎穿刺针锋利度＜2.5N，笔尖型腰椎穿刺针，减少组织神经划伤。</w:t>
            </w:r>
          </w:p>
          <w:p>
            <w:pPr>
              <w:widowControl/>
              <w:numPr>
                <w:ilvl w:val="0"/>
                <w:numId w:val="0"/>
              </w:numPr>
              <w:jc w:val="left"/>
              <w:textAlignment w:val="center"/>
              <w:rPr>
                <w:rFonts w:hint="default"/>
                <w:lang w:val="en-US" w:eastAsia="zh-CN"/>
              </w:rPr>
            </w:pPr>
            <w:r>
              <w:rPr>
                <w:rFonts w:hint="eastAsia"/>
                <w:lang w:val="en-US" w:eastAsia="zh-CN"/>
              </w:rPr>
              <w:t>7.药液过滤器滤除介质标准孔径≤2um，滤除率≥90% 。</w:t>
            </w:r>
          </w:p>
          <w:p>
            <w:pPr>
              <w:widowControl/>
              <w:numPr>
                <w:ilvl w:val="0"/>
                <w:numId w:val="0"/>
              </w:numPr>
              <w:jc w:val="left"/>
              <w:textAlignment w:val="center"/>
              <w:rPr>
                <w:rFonts w:hint="eastAsia"/>
                <w:lang w:val="en-US" w:eastAsia="zh-CN"/>
              </w:rPr>
            </w:pPr>
            <w:r>
              <w:rPr>
                <w:rFonts w:hint="eastAsia"/>
                <w:lang w:val="en-US" w:eastAsia="zh-CN"/>
              </w:rPr>
              <w:t>8.器械内麻醉药液残留量≤1ml。</w:t>
            </w:r>
          </w:p>
          <w:p>
            <w:pPr>
              <w:widowControl/>
              <w:numPr>
                <w:ilvl w:val="0"/>
                <w:numId w:val="0"/>
              </w:numPr>
              <w:jc w:val="left"/>
              <w:textAlignment w:val="center"/>
              <w:rPr>
                <w:rFonts w:hint="default"/>
                <w:lang w:val="en-US" w:eastAsia="zh-CN"/>
              </w:rPr>
            </w:pPr>
            <w:r>
              <w:rPr>
                <w:rFonts w:hint="eastAsia"/>
                <w:lang w:val="en-US" w:eastAsia="zh-CN"/>
              </w:rPr>
              <w:t>9.包装：敷料与器械分隔放置，放置交叉污染。</w:t>
            </w:r>
          </w:p>
          <w:p>
            <w:pPr>
              <w:widowControl/>
              <w:numPr>
                <w:ilvl w:val="0"/>
                <w:numId w:val="0"/>
              </w:numPr>
              <w:jc w:val="left"/>
              <w:textAlignment w:val="center"/>
              <w:rPr>
                <w:rFonts w:hint="default"/>
                <w:lang w:val="en-US" w:eastAsia="zh-CN"/>
              </w:rPr>
            </w:pPr>
            <w:r>
              <w:rPr>
                <w:rFonts w:hint="eastAsia"/>
                <w:lang w:val="en-US" w:eastAsia="zh-CN"/>
              </w:rPr>
              <w:t>10.环氧乙烷灭菌，一次性使用。</w:t>
            </w:r>
          </w:p>
        </w:tc>
      </w:tr>
    </w:tbl>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3"/>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3"/>
        <w:ind w:left="283" w:leftChars="135" w:firstLine="0" w:firstLineChars="0"/>
      </w:pPr>
      <w:r>
        <w:rPr>
          <w:rFonts w:hint="eastAsia"/>
        </w:rPr>
        <w:t>（二）服务要求：</w:t>
      </w:r>
    </w:p>
    <w:p>
      <w:pPr>
        <w:pStyle w:val="3"/>
        <w:spacing w:line="400" w:lineRule="exact"/>
        <w:ind w:firstLine="480"/>
        <w:rPr>
          <w:rFonts w:hint="eastAsia"/>
          <w:lang w:eastAsia="zh-CN"/>
        </w:rPr>
      </w:pPr>
      <w:r>
        <w:rPr>
          <w:rFonts w:hint="eastAsia"/>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lang w:eastAsia="zh-CN"/>
        </w:rPr>
        <w:t>（</w:t>
      </w:r>
      <w:r>
        <w:rPr>
          <w:rFonts w:hint="eastAsia"/>
          <w:lang w:val="en-US" w:eastAsia="zh-CN"/>
        </w:rPr>
        <w:t>已经挂网的需要提供集采平台挂网截图</w:t>
      </w:r>
      <w:r>
        <w:rPr>
          <w:rFonts w:hint="eastAsia"/>
          <w:lang w:eastAsia="zh-CN"/>
        </w:rPr>
        <w:t>）</w:t>
      </w:r>
    </w:p>
    <w:p>
      <w:pPr>
        <w:pStyle w:val="3"/>
        <w:spacing w:line="400" w:lineRule="exact"/>
        <w:ind w:firstLine="480"/>
      </w:pPr>
      <w:r>
        <w:rPr>
          <w:rFonts w:hint="eastAsia"/>
        </w:rPr>
        <w:t>（三）商务要求：</w:t>
      </w:r>
    </w:p>
    <w:p>
      <w:pPr>
        <w:pStyle w:val="3"/>
        <w:spacing w:line="400" w:lineRule="exact"/>
        <w:ind w:firstLine="480"/>
      </w:pPr>
      <w:r>
        <w:rPr>
          <w:rFonts w:hint="eastAsia"/>
        </w:rPr>
        <w:t>▲1.付款方法和条件：</w:t>
      </w:r>
    </w:p>
    <w:p>
      <w:pPr>
        <w:pStyle w:val="3"/>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3"/>
        <w:spacing w:line="400" w:lineRule="exact"/>
        <w:ind w:firstLine="480"/>
      </w:pPr>
      <w:r>
        <w:rPr>
          <w:rFonts w:hint="eastAsia"/>
        </w:rPr>
        <w:t>（2）因供应商供货质量不合格或不符合采购人要求的，采购人有权拒绝付款。</w:t>
      </w:r>
    </w:p>
    <w:p>
      <w:pPr>
        <w:pStyle w:val="3"/>
        <w:spacing w:line="400" w:lineRule="exact"/>
        <w:ind w:firstLine="480"/>
      </w:pPr>
      <w:r>
        <w:rPr>
          <w:rFonts w:hint="eastAsia"/>
        </w:rPr>
        <w:t>▲2.供货期限：3年，采购数量以实际使用量为准。</w:t>
      </w:r>
    </w:p>
    <w:p>
      <w:pPr>
        <w:pStyle w:val="3"/>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pPr>
      <w:r>
        <w:rPr>
          <w:rFonts w:hint="eastAsia"/>
        </w:rPr>
        <w:t>▲5.质量保证：</w:t>
      </w:r>
    </w:p>
    <w:p>
      <w:pPr>
        <w:pStyle w:val="3"/>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hint="eastAsia"/>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pacing w:line="360" w:lineRule="auto"/>
        <w:jc w:val="left"/>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pPr w:leftFromText="180" w:rightFromText="180" w:vertAnchor="text" w:horzAnchor="page" w:tblpXSpec="center" w:tblpY="22"/>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84"/>
        <w:gridCol w:w="480"/>
        <w:gridCol w:w="6648"/>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08" w:type="dxa"/>
            <w:noWrap/>
            <w:vAlign w:val="center"/>
          </w:tcPr>
          <w:p>
            <w:pPr>
              <w:widowControl/>
              <w:spacing w:line="240" w:lineRule="atLeast"/>
              <w:jc w:val="center"/>
              <w:rPr>
                <w:color w:val="auto"/>
              </w:rPr>
            </w:pPr>
            <w:r>
              <w:rPr>
                <w:rFonts w:hint="eastAsia"/>
                <w:color w:val="auto"/>
              </w:rPr>
              <w:t>序号</w:t>
            </w:r>
          </w:p>
        </w:tc>
        <w:tc>
          <w:tcPr>
            <w:tcW w:w="984" w:type="dxa"/>
            <w:noWrap/>
            <w:vAlign w:val="center"/>
          </w:tcPr>
          <w:p>
            <w:pPr>
              <w:widowControl/>
              <w:spacing w:line="240" w:lineRule="atLeast"/>
              <w:jc w:val="center"/>
              <w:rPr>
                <w:color w:val="auto"/>
              </w:rPr>
            </w:pPr>
            <w:r>
              <w:rPr>
                <w:rFonts w:hint="eastAsia"/>
                <w:color w:val="auto"/>
              </w:rPr>
              <w:t>评分因素及权重</w:t>
            </w:r>
          </w:p>
        </w:tc>
        <w:tc>
          <w:tcPr>
            <w:tcW w:w="480" w:type="dxa"/>
            <w:noWrap/>
            <w:vAlign w:val="center"/>
          </w:tcPr>
          <w:p>
            <w:pPr>
              <w:widowControl/>
              <w:wordWrap w:val="0"/>
              <w:spacing w:line="240" w:lineRule="atLeast"/>
              <w:jc w:val="center"/>
              <w:rPr>
                <w:color w:val="auto"/>
              </w:rPr>
            </w:pPr>
            <w:r>
              <w:rPr>
                <w:rFonts w:hint="eastAsia"/>
                <w:color w:val="auto"/>
              </w:rPr>
              <w:t>分值</w:t>
            </w:r>
          </w:p>
        </w:tc>
        <w:tc>
          <w:tcPr>
            <w:tcW w:w="6648" w:type="dxa"/>
            <w:noWrap/>
            <w:vAlign w:val="center"/>
          </w:tcPr>
          <w:p>
            <w:pPr>
              <w:widowControl/>
              <w:wordWrap w:val="0"/>
              <w:spacing w:line="240" w:lineRule="atLeast"/>
              <w:jc w:val="center"/>
              <w:rPr>
                <w:color w:val="auto"/>
              </w:rPr>
            </w:pPr>
            <w:r>
              <w:rPr>
                <w:rFonts w:hint="eastAsia"/>
                <w:color w:val="auto"/>
              </w:rPr>
              <w:t>评分标准</w:t>
            </w:r>
          </w:p>
        </w:tc>
        <w:tc>
          <w:tcPr>
            <w:tcW w:w="643" w:type="dxa"/>
            <w:noWrap/>
            <w:vAlign w:val="center"/>
          </w:tcPr>
          <w:p>
            <w:pPr>
              <w:widowControl/>
              <w:wordWrap w:val="0"/>
              <w:spacing w:line="240" w:lineRule="atLeast"/>
              <w:jc w:val="center"/>
              <w:rPr>
                <w:color w:val="auto"/>
              </w:rPr>
            </w:pPr>
            <w:r>
              <w:rPr>
                <w:rFonts w:hint="eastAsia"/>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08" w:type="dxa"/>
            <w:noWrap/>
            <w:vAlign w:val="center"/>
          </w:tcPr>
          <w:p>
            <w:pPr>
              <w:widowControl/>
              <w:wordWrap w:val="0"/>
              <w:spacing w:line="270" w:lineRule="atLeast"/>
              <w:jc w:val="center"/>
              <w:rPr>
                <w:color w:val="auto"/>
              </w:rPr>
            </w:pPr>
            <w:r>
              <w:rPr>
                <w:rFonts w:hint="eastAsia"/>
                <w:color w:val="auto"/>
              </w:rPr>
              <w:t>1</w:t>
            </w:r>
          </w:p>
        </w:tc>
        <w:tc>
          <w:tcPr>
            <w:tcW w:w="984" w:type="dxa"/>
            <w:noWrap/>
            <w:vAlign w:val="center"/>
          </w:tcPr>
          <w:p>
            <w:pPr>
              <w:widowControl/>
              <w:wordWrap w:val="0"/>
              <w:spacing w:line="270" w:lineRule="atLeast"/>
              <w:jc w:val="center"/>
              <w:rPr>
                <w:color w:val="auto"/>
              </w:rPr>
            </w:pPr>
            <w:r>
              <w:rPr>
                <w:rFonts w:hint="eastAsia"/>
                <w:color w:val="auto"/>
              </w:rPr>
              <w:t>报价</w:t>
            </w:r>
          </w:p>
          <w:p>
            <w:pPr>
              <w:widowControl/>
              <w:wordWrap w:val="0"/>
              <w:spacing w:line="270" w:lineRule="atLeast"/>
              <w:jc w:val="center"/>
              <w:rPr>
                <w:color w:val="auto"/>
              </w:rPr>
            </w:pPr>
            <w:r>
              <w:rPr>
                <w:rFonts w:hint="eastAsia"/>
                <w:color w:val="auto"/>
                <w:lang w:val="en-US" w:eastAsia="zh-CN"/>
              </w:rPr>
              <w:t>30</w:t>
            </w:r>
            <w:r>
              <w:rPr>
                <w:rFonts w:hint="eastAsia"/>
                <w:color w:val="auto"/>
              </w:rPr>
              <w:t>%</w:t>
            </w:r>
          </w:p>
        </w:tc>
        <w:tc>
          <w:tcPr>
            <w:tcW w:w="480" w:type="dxa"/>
            <w:noWrap/>
            <w:vAlign w:val="center"/>
          </w:tcPr>
          <w:p>
            <w:pPr>
              <w:widowControl/>
              <w:wordWrap w:val="0"/>
              <w:spacing w:line="270" w:lineRule="atLeast"/>
              <w:jc w:val="center"/>
              <w:rPr>
                <w:color w:val="auto"/>
              </w:rPr>
            </w:pPr>
            <w:r>
              <w:rPr>
                <w:rFonts w:hint="eastAsia"/>
                <w:color w:val="auto"/>
                <w:lang w:val="en-US" w:eastAsia="zh-CN"/>
              </w:rPr>
              <w:t>30</w:t>
            </w:r>
            <w:r>
              <w:rPr>
                <w:rFonts w:hint="eastAsia"/>
                <w:color w:val="auto"/>
              </w:rPr>
              <w:t>分</w:t>
            </w:r>
          </w:p>
        </w:tc>
        <w:tc>
          <w:tcPr>
            <w:tcW w:w="6648" w:type="dxa"/>
            <w:noWrap/>
            <w:vAlign w:val="center"/>
          </w:tcPr>
          <w:p>
            <w:pPr>
              <w:widowControl/>
              <w:numPr>
                <w:ilvl w:val="0"/>
                <w:numId w:val="1"/>
              </w:numPr>
              <w:wordWrap w:val="0"/>
              <w:spacing w:line="270" w:lineRule="atLeast"/>
              <w:jc w:val="left"/>
              <w:rPr>
                <w:rFonts w:hint="eastAsia" w:cs="Segoe UI" w:asciiTheme="minorEastAsia" w:hAnsiTheme="minorEastAsia"/>
                <w:b/>
                <w:color w:val="auto"/>
                <w:kern w:val="0"/>
                <w:szCs w:val="21"/>
              </w:rPr>
            </w:pPr>
            <w:r>
              <w:rPr>
                <w:rFonts w:hint="eastAsia" w:cs="Segoe UI" w:asciiTheme="minorEastAsia" w:hAnsiTheme="minorEastAsia"/>
                <w:b/>
                <w:color w:val="auto"/>
                <w:kern w:val="0"/>
                <w:szCs w:val="21"/>
              </w:rPr>
              <w:t>价格分：</w:t>
            </w:r>
          </w:p>
          <w:p>
            <w:pPr>
              <w:widowControl/>
              <w:numPr>
                <w:ilvl w:val="0"/>
                <w:numId w:val="0"/>
              </w:numPr>
              <w:wordWrap w:val="0"/>
              <w:spacing w:line="270" w:lineRule="atLeast"/>
              <w:jc w:val="left"/>
              <w:rPr>
                <w:rFonts w:hint="eastAsia"/>
                <w:color w:val="auto"/>
              </w:rPr>
            </w:pPr>
            <w:r>
              <w:rPr>
                <w:rFonts w:hint="eastAsia"/>
                <w:color w:val="auto"/>
              </w:rPr>
              <w:t>满足磋商文件要求且报价最低的有效最终磋商报价</w:t>
            </w:r>
            <w:r>
              <w:rPr>
                <w:rFonts w:hint="eastAsia"/>
                <w:color w:val="auto"/>
                <w:lang w:val="en-US" w:eastAsia="zh-CN"/>
              </w:rPr>
              <w:t>总价</w:t>
            </w:r>
            <w:r>
              <w:rPr>
                <w:rFonts w:hint="eastAsia"/>
                <w:color w:val="auto"/>
              </w:rPr>
              <w:t>为磋商基准价，其报价分为</w:t>
            </w:r>
            <w:r>
              <w:rPr>
                <w:rFonts w:hint="eastAsia"/>
                <w:color w:val="auto"/>
                <w:lang w:val="en-US" w:eastAsia="zh-CN"/>
              </w:rPr>
              <w:t>30</w:t>
            </w:r>
            <w:r>
              <w:rPr>
                <w:rFonts w:hint="eastAsia"/>
                <w:color w:val="auto"/>
              </w:rPr>
              <w:t>分。其他供应商的报价分按以下公式计算：报价得分=(磋商基准价／最终磋商报价)×</w:t>
            </w:r>
            <w:r>
              <w:rPr>
                <w:rFonts w:hint="eastAsia"/>
                <w:color w:val="auto"/>
                <w:lang w:val="en-US" w:eastAsia="zh-CN"/>
              </w:rPr>
              <w:t>30</w:t>
            </w:r>
            <w:r>
              <w:rPr>
                <w:rFonts w:hint="eastAsia"/>
                <w:color w:val="auto"/>
              </w:rPr>
              <w:t>。</w:t>
            </w:r>
          </w:p>
          <w:p>
            <w:pPr>
              <w:widowControl/>
              <w:wordWrap w:val="0"/>
              <w:spacing w:line="270" w:lineRule="atLeast"/>
              <w:jc w:val="left"/>
              <w:rPr>
                <w:rFonts w:hint="default" w:cs="Segoe UI" w:asciiTheme="minorEastAsia" w:hAnsiTheme="minorEastAsia" w:eastAsiaTheme="minorEastAsia"/>
                <w:b/>
                <w:color w:val="auto"/>
                <w:kern w:val="0"/>
                <w:szCs w:val="21"/>
                <w:lang w:val="en-US" w:eastAsia="zh-CN"/>
              </w:rPr>
            </w:pPr>
            <w:r>
              <w:rPr>
                <w:rFonts w:hint="eastAsia" w:cs="Segoe UI" w:asciiTheme="minorEastAsia" w:hAnsiTheme="minorEastAsia"/>
                <w:b/>
                <w:color w:val="auto"/>
                <w:kern w:val="0"/>
                <w:szCs w:val="21"/>
              </w:rPr>
              <w:t>2.</w:t>
            </w:r>
            <w:r>
              <w:rPr>
                <w:rFonts w:hint="eastAsia" w:cs="Segoe UI" w:asciiTheme="minorEastAsia" w:hAnsiTheme="minorEastAsia"/>
                <w:b/>
                <w:color w:val="auto"/>
                <w:kern w:val="0"/>
                <w:szCs w:val="21"/>
                <w:lang w:val="en-US" w:eastAsia="zh-CN"/>
              </w:rPr>
              <w:t>最终磋商报价</w:t>
            </w:r>
          </w:p>
          <w:p>
            <w:pPr>
              <w:pStyle w:val="5"/>
              <w:rPr>
                <w:rFonts w:hint="eastAsia" w:eastAsiaTheme="minorEastAsia"/>
                <w:color w:val="auto"/>
                <w:lang w:eastAsia="zh-CN"/>
              </w:rPr>
            </w:pPr>
            <w:r>
              <w:rPr>
                <w:rFonts w:hint="eastAsia" w:cs="Segoe UI" w:asciiTheme="minorEastAsia" w:hAnsiTheme="minorEastAsia"/>
                <w:color w:val="auto"/>
                <w:kern w:val="0"/>
                <w:szCs w:val="21"/>
                <w:lang w:val="en-US" w:eastAsia="zh-CN"/>
              </w:rPr>
              <w:t>最终磋商报价</w:t>
            </w:r>
            <w:r>
              <w:rPr>
                <w:rFonts w:hint="eastAsia" w:cs="Segoe UI" w:asciiTheme="minorEastAsia" w:hAnsiTheme="minorEastAsia"/>
                <w:color w:val="auto"/>
                <w:kern w:val="0"/>
                <w:szCs w:val="21"/>
              </w:rPr>
              <w:t>=投标单价*</w:t>
            </w:r>
            <w:r>
              <w:rPr>
                <w:rFonts w:hint="eastAsia"/>
                <w:color w:val="auto"/>
              </w:rPr>
              <w:t>预估年</w:t>
            </w:r>
            <w:r>
              <w:rPr>
                <w:rFonts w:hint="eastAsia"/>
                <w:color w:val="auto"/>
                <w:lang w:val="en-US" w:eastAsia="zh-CN"/>
              </w:rPr>
              <w:t>采购数</w:t>
            </w:r>
            <w:r>
              <w:rPr>
                <w:rFonts w:hint="eastAsia"/>
                <w:color w:val="auto"/>
              </w:rPr>
              <w:t>量</w:t>
            </w:r>
            <w:r>
              <w:rPr>
                <w:rFonts w:hint="eastAsia"/>
                <w:color w:val="auto"/>
                <w:lang w:eastAsia="zh-CN"/>
              </w:rPr>
              <w:t>（</w:t>
            </w:r>
            <w:r>
              <w:rPr>
                <w:rFonts w:hint="eastAsia" w:cs="Segoe UI" w:asciiTheme="minorEastAsia" w:hAnsiTheme="minorEastAsia"/>
                <w:color w:val="auto"/>
                <w:kern w:val="0"/>
                <w:szCs w:val="21"/>
              </w:rPr>
              <w:t>若</w:t>
            </w:r>
            <w:r>
              <w:rPr>
                <w:rFonts w:hint="eastAsia" w:cs="Segoe UI" w:asciiTheme="minorEastAsia" w:hAnsiTheme="minorEastAsia"/>
                <w:color w:val="auto"/>
                <w:kern w:val="0"/>
                <w:szCs w:val="21"/>
                <w:lang w:val="en-US" w:eastAsia="zh-CN"/>
              </w:rPr>
              <w:t>报价</w:t>
            </w:r>
            <w:r>
              <w:rPr>
                <w:rFonts w:hint="eastAsia" w:cs="Segoe UI" w:asciiTheme="minorEastAsia" w:hAnsiTheme="minorEastAsia"/>
                <w:color w:val="auto"/>
                <w:kern w:val="0"/>
                <w:szCs w:val="21"/>
              </w:rPr>
              <w:t>产品有细分规格且报价不同，则按照</w:t>
            </w:r>
            <w:r>
              <w:rPr>
                <w:rFonts w:hint="eastAsia" w:cs="Segoe UI" w:asciiTheme="minorEastAsia" w:hAnsiTheme="minorEastAsia"/>
                <w:color w:val="auto"/>
                <w:kern w:val="0"/>
                <w:szCs w:val="21"/>
                <w:lang w:val="en-US" w:eastAsia="zh-CN"/>
              </w:rPr>
              <w:t>各规格的</w:t>
            </w:r>
            <w:r>
              <w:rPr>
                <w:rFonts w:hint="eastAsia" w:cs="Segoe UI" w:asciiTheme="minorEastAsia" w:hAnsiTheme="minorEastAsia"/>
                <w:color w:val="auto"/>
                <w:kern w:val="0"/>
                <w:szCs w:val="21"/>
              </w:rPr>
              <w:t>平均价计算</w:t>
            </w:r>
            <w:r>
              <w:rPr>
                <w:rFonts w:hint="eastAsia" w:cs="Segoe UI" w:asciiTheme="minorEastAsia" w:hAnsiTheme="minorEastAsia"/>
                <w:color w:val="auto"/>
                <w:kern w:val="0"/>
                <w:szCs w:val="21"/>
                <w:lang w:val="en-US" w:eastAsia="zh-CN"/>
              </w:rPr>
              <w:t>投标</w:t>
            </w:r>
            <w:r>
              <w:rPr>
                <w:rFonts w:hint="eastAsia" w:cs="Segoe UI" w:asciiTheme="minorEastAsia" w:hAnsiTheme="minorEastAsia"/>
                <w:color w:val="auto"/>
                <w:kern w:val="0"/>
                <w:szCs w:val="21"/>
              </w:rPr>
              <w:t>单价</w:t>
            </w:r>
            <w:r>
              <w:rPr>
                <w:rFonts w:hint="eastAsia"/>
                <w:color w:val="auto"/>
                <w:lang w:eastAsia="zh-CN"/>
              </w:rPr>
              <w:t>）</w:t>
            </w:r>
          </w:p>
        </w:tc>
        <w:tc>
          <w:tcPr>
            <w:tcW w:w="643" w:type="dxa"/>
            <w:noWrap/>
            <w:vAlign w:val="center"/>
          </w:tcPr>
          <w:p>
            <w:pPr>
              <w:wordWrap w:val="0"/>
              <w:spacing w:line="270" w:lineRule="atLeast"/>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8" w:type="dxa"/>
            <w:noWrap/>
            <w:vAlign w:val="center"/>
          </w:tcPr>
          <w:p>
            <w:pPr>
              <w:widowControl/>
              <w:wordWrap w:val="0"/>
              <w:spacing w:line="270" w:lineRule="atLeast"/>
              <w:jc w:val="center"/>
              <w:rPr>
                <w:color w:val="auto"/>
              </w:rPr>
            </w:pPr>
            <w:r>
              <w:rPr>
                <w:rFonts w:hint="eastAsia"/>
                <w:color w:val="auto"/>
              </w:rPr>
              <w:t>2</w:t>
            </w:r>
          </w:p>
        </w:tc>
        <w:tc>
          <w:tcPr>
            <w:tcW w:w="984" w:type="dxa"/>
            <w:noWrap/>
            <w:vAlign w:val="center"/>
          </w:tcPr>
          <w:p>
            <w:pPr>
              <w:widowControl/>
              <w:wordWrap w:val="0"/>
              <w:spacing w:line="270" w:lineRule="atLeast"/>
              <w:jc w:val="center"/>
              <w:rPr>
                <w:rFonts w:hint="eastAsia"/>
                <w:color w:val="auto"/>
              </w:rPr>
            </w:pPr>
            <w:r>
              <w:rPr>
                <w:rFonts w:hint="eastAsia"/>
                <w:color w:val="auto"/>
              </w:rPr>
              <w:t>技术</w:t>
            </w:r>
          </w:p>
          <w:p>
            <w:pPr>
              <w:widowControl/>
              <w:wordWrap w:val="0"/>
              <w:spacing w:line="270" w:lineRule="atLeast"/>
              <w:jc w:val="center"/>
              <w:rPr>
                <w:color w:val="auto"/>
              </w:rPr>
            </w:pPr>
            <w:r>
              <w:rPr>
                <w:rFonts w:hint="eastAsia"/>
                <w:color w:val="auto"/>
              </w:rPr>
              <w:t>指标</w:t>
            </w:r>
          </w:p>
          <w:p>
            <w:pPr>
              <w:widowControl/>
              <w:wordWrap w:val="0"/>
              <w:spacing w:line="270" w:lineRule="atLeast"/>
              <w:jc w:val="center"/>
              <w:rPr>
                <w:color w:val="auto"/>
              </w:rPr>
            </w:pPr>
            <w:r>
              <w:rPr>
                <w:rFonts w:hint="eastAsia"/>
                <w:color w:val="auto"/>
                <w:lang w:val="en-US" w:eastAsia="zh-CN"/>
              </w:rPr>
              <w:t>35</w:t>
            </w:r>
            <w:r>
              <w:rPr>
                <w:rFonts w:hint="eastAsia"/>
                <w:color w:val="auto"/>
              </w:rPr>
              <w:t>%</w:t>
            </w:r>
          </w:p>
        </w:tc>
        <w:tc>
          <w:tcPr>
            <w:tcW w:w="480" w:type="dxa"/>
            <w:noWrap/>
            <w:vAlign w:val="center"/>
          </w:tcPr>
          <w:p>
            <w:pPr>
              <w:widowControl/>
              <w:wordWrap w:val="0"/>
              <w:spacing w:line="270" w:lineRule="atLeast"/>
              <w:jc w:val="center"/>
              <w:rPr>
                <w:color w:val="auto"/>
              </w:rPr>
            </w:pPr>
            <w:r>
              <w:rPr>
                <w:rFonts w:hint="eastAsia"/>
                <w:color w:val="auto"/>
                <w:lang w:val="en-US" w:eastAsia="zh-CN"/>
              </w:rPr>
              <w:t>35</w:t>
            </w:r>
            <w:r>
              <w:rPr>
                <w:rFonts w:hint="eastAsia"/>
                <w:color w:val="auto"/>
              </w:rPr>
              <w:t>分</w:t>
            </w:r>
          </w:p>
        </w:tc>
        <w:tc>
          <w:tcPr>
            <w:tcW w:w="6648" w:type="dxa"/>
            <w:noWrap/>
            <w:vAlign w:val="center"/>
          </w:tcPr>
          <w:p>
            <w:pPr>
              <w:widowControl/>
              <w:wordWrap w:val="0"/>
              <w:spacing w:line="270" w:lineRule="atLeast"/>
              <w:jc w:val="left"/>
              <w:rPr>
                <w:color w:val="auto"/>
              </w:rPr>
            </w:pPr>
            <w:r>
              <w:rPr>
                <w:rFonts w:hint="eastAsia"/>
                <w:color w:val="auto"/>
              </w:rPr>
              <w:t>完全满足磋商文件“二、技术参数要求”的要求没有负偏离得</w:t>
            </w:r>
            <w:r>
              <w:rPr>
                <w:rFonts w:hint="eastAsia"/>
                <w:color w:val="auto"/>
                <w:lang w:val="en-US" w:eastAsia="zh-CN"/>
              </w:rPr>
              <w:t>35</w:t>
            </w:r>
            <w:r>
              <w:rPr>
                <w:rFonts w:hint="eastAsia"/>
                <w:color w:val="auto"/>
              </w:rPr>
              <w:t>分。</w:t>
            </w:r>
          </w:p>
          <w:p>
            <w:pPr>
              <w:widowControl/>
              <w:wordWrap w:val="0"/>
              <w:spacing w:line="270" w:lineRule="atLeast"/>
              <w:jc w:val="left"/>
              <w:rPr>
                <w:color w:val="auto"/>
              </w:rPr>
            </w:pPr>
            <w:r>
              <w:rPr>
                <w:rFonts w:hint="eastAsia"/>
                <w:color w:val="auto"/>
                <w:lang w:val="en-US" w:eastAsia="zh-CN"/>
              </w:rPr>
              <w:t>“★”的参数为重要参数</w:t>
            </w:r>
            <w:r>
              <w:rPr>
                <w:rFonts w:hint="eastAsia"/>
                <w:color w:val="auto"/>
              </w:rPr>
              <w:t>（共</w:t>
            </w:r>
            <w:r>
              <w:rPr>
                <w:rFonts w:hint="eastAsia"/>
                <w:color w:val="auto"/>
                <w:lang w:val="en-US" w:eastAsia="zh-CN"/>
              </w:rPr>
              <w:t>2</w:t>
            </w:r>
            <w:r>
              <w:rPr>
                <w:rFonts w:hint="eastAsia"/>
                <w:color w:val="auto"/>
              </w:rPr>
              <w:t>条），每有一条负偏离的扣</w:t>
            </w:r>
            <w:r>
              <w:rPr>
                <w:rFonts w:hint="eastAsia"/>
                <w:color w:val="auto"/>
                <w:lang w:val="en-US" w:eastAsia="zh-CN"/>
              </w:rPr>
              <w:t>4</w:t>
            </w:r>
            <w:r>
              <w:rPr>
                <w:rFonts w:hint="eastAsia"/>
                <w:color w:val="auto"/>
              </w:rPr>
              <w:t>分</w:t>
            </w:r>
            <w:r>
              <w:rPr>
                <w:rFonts w:hint="eastAsia"/>
                <w:color w:val="auto"/>
                <w:lang w:eastAsia="zh-CN"/>
              </w:rPr>
              <w:t>；</w:t>
            </w:r>
            <w:r>
              <w:rPr>
                <w:rFonts w:hint="eastAsia"/>
                <w:color w:val="auto"/>
              </w:rPr>
              <w:t>非“★”非“▲”的参数为一般参数（共</w:t>
            </w:r>
            <w:r>
              <w:rPr>
                <w:rFonts w:hint="eastAsia"/>
                <w:color w:val="auto"/>
                <w:lang w:val="en-US" w:eastAsia="zh-CN"/>
              </w:rPr>
              <w:t>27</w:t>
            </w:r>
            <w:r>
              <w:rPr>
                <w:rFonts w:hint="eastAsia"/>
                <w:color w:val="auto"/>
              </w:rPr>
              <w:t>条），每有一条负偏离的扣</w:t>
            </w:r>
            <w:r>
              <w:rPr>
                <w:rFonts w:hint="eastAsia"/>
                <w:color w:val="auto"/>
                <w:lang w:val="en-US" w:eastAsia="zh-CN"/>
              </w:rPr>
              <w:t>1</w:t>
            </w:r>
            <w:r>
              <w:rPr>
                <w:rFonts w:hint="eastAsia"/>
                <w:color w:val="auto"/>
              </w:rPr>
              <w:t>分，扣完为止。</w:t>
            </w:r>
          </w:p>
        </w:tc>
        <w:tc>
          <w:tcPr>
            <w:tcW w:w="643" w:type="dxa"/>
            <w:noWrap/>
            <w:vAlign w:val="center"/>
          </w:tcPr>
          <w:p>
            <w:pPr>
              <w:widowControl/>
              <w:wordWrap w:val="0"/>
              <w:spacing w:line="270" w:lineRule="atLeast"/>
              <w:jc w:val="left"/>
              <w:rPr>
                <w:color w:val="auto"/>
              </w:rPr>
            </w:pPr>
            <w:r>
              <w:rPr>
                <w:rFonts w:hint="eastAsia"/>
                <w:color w:va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8" w:type="dxa"/>
            <w:noWrap/>
            <w:vAlign w:val="center"/>
          </w:tcPr>
          <w:p>
            <w:pPr>
              <w:widowControl/>
              <w:wordWrap w:val="0"/>
              <w:spacing w:line="270" w:lineRule="atLeast"/>
              <w:jc w:val="center"/>
              <w:rPr>
                <w:rFonts w:hint="eastAsia" w:cs="Segoe UI" w:asciiTheme="minorEastAsia" w:hAnsiTheme="minorEastAsia" w:eastAsiaTheme="minorEastAsia"/>
                <w:color w:val="auto"/>
                <w:kern w:val="0"/>
                <w:sz w:val="21"/>
                <w:szCs w:val="21"/>
                <w:lang w:val="en-US" w:eastAsia="zh-CN" w:bidi="ar-SA"/>
              </w:rPr>
            </w:pPr>
            <w:r>
              <w:rPr>
                <w:rFonts w:hint="eastAsia" w:cs="Segoe UI" w:asciiTheme="minorEastAsia" w:hAnsiTheme="minorEastAsia"/>
                <w:color w:val="auto"/>
                <w:kern w:val="0"/>
                <w:szCs w:val="21"/>
              </w:rPr>
              <w:t>3</w:t>
            </w:r>
          </w:p>
        </w:tc>
        <w:tc>
          <w:tcPr>
            <w:tcW w:w="984" w:type="dxa"/>
            <w:noWrap/>
            <w:vAlign w:val="center"/>
          </w:tcPr>
          <w:p>
            <w:pPr>
              <w:widowControl/>
              <w:jc w:val="center"/>
              <w:rPr>
                <w:rFonts w:hint="eastAsia" w:cs="Segoe UI" w:asciiTheme="minorEastAsia" w:hAnsiTheme="minorEastAsia"/>
                <w:color w:val="auto"/>
                <w:kern w:val="0"/>
                <w:szCs w:val="21"/>
              </w:rPr>
            </w:pPr>
            <w:r>
              <w:rPr>
                <w:rFonts w:hint="eastAsia" w:cs="Segoe UI" w:asciiTheme="minorEastAsia" w:hAnsiTheme="minorEastAsia"/>
                <w:color w:val="auto"/>
                <w:kern w:val="0"/>
                <w:szCs w:val="21"/>
              </w:rPr>
              <w:t>样品</w:t>
            </w:r>
          </w:p>
          <w:p>
            <w:pPr>
              <w:widowControl/>
              <w:jc w:val="center"/>
              <w:rPr>
                <w:rFonts w:cs="Segoe UI" w:asciiTheme="minorEastAsia" w:hAnsiTheme="minorEastAsia"/>
                <w:color w:val="auto"/>
                <w:kern w:val="0"/>
                <w:szCs w:val="21"/>
              </w:rPr>
            </w:pPr>
            <w:r>
              <w:rPr>
                <w:rFonts w:hint="eastAsia" w:cs="Segoe UI" w:asciiTheme="minorEastAsia" w:hAnsiTheme="minorEastAsia"/>
                <w:color w:val="auto"/>
                <w:kern w:val="0"/>
                <w:szCs w:val="21"/>
              </w:rPr>
              <w:t>评分</w:t>
            </w:r>
          </w:p>
          <w:p>
            <w:pPr>
              <w:widowControl/>
              <w:jc w:val="center"/>
              <w:rPr>
                <w:rFonts w:hint="eastAsia" w:cs="Segoe UI" w:asciiTheme="minorEastAsia" w:hAnsiTheme="minorEastAsia" w:eastAsiaTheme="minorEastAsia"/>
                <w:color w:val="auto"/>
                <w:kern w:val="0"/>
                <w:sz w:val="21"/>
                <w:szCs w:val="21"/>
                <w:lang w:val="en-US" w:eastAsia="zh-CN" w:bidi="ar-SA"/>
              </w:rPr>
            </w:pPr>
            <w:r>
              <w:rPr>
                <w:rFonts w:hint="eastAsia" w:cs="Segoe UI" w:asciiTheme="minorEastAsia" w:hAnsiTheme="minorEastAsia"/>
                <w:color w:val="auto"/>
                <w:kern w:val="0"/>
                <w:szCs w:val="21"/>
              </w:rPr>
              <w:t>1</w:t>
            </w:r>
            <w:r>
              <w:rPr>
                <w:rFonts w:hint="eastAsia" w:cs="Segoe UI" w:asciiTheme="minorEastAsia" w:hAnsiTheme="minorEastAsia"/>
                <w:color w:val="auto"/>
                <w:kern w:val="0"/>
                <w:szCs w:val="21"/>
                <w:lang w:val="en-US" w:eastAsia="zh-CN"/>
              </w:rPr>
              <w:t>1</w:t>
            </w:r>
            <w:r>
              <w:rPr>
                <w:rFonts w:hint="eastAsia" w:cs="Segoe UI" w:asciiTheme="minorEastAsia" w:hAnsiTheme="minorEastAsia"/>
                <w:color w:val="auto"/>
                <w:kern w:val="0"/>
                <w:szCs w:val="21"/>
              </w:rPr>
              <w:t>%</w:t>
            </w:r>
          </w:p>
        </w:tc>
        <w:tc>
          <w:tcPr>
            <w:tcW w:w="480" w:type="dxa"/>
            <w:noWrap/>
            <w:vAlign w:val="center"/>
          </w:tcPr>
          <w:p>
            <w:pPr>
              <w:widowControl/>
              <w:numPr>
                <w:ilvl w:val="0"/>
                <w:numId w:val="0"/>
              </w:numPr>
              <w:wordWrap w:val="0"/>
              <w:ind w:left="0" w:leftChars="0" w:firstLine="0" w:firstLineChars="0"/>
              <w:jc w:val="left"/>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11分</w:t>
            </w:r>
          </w:p>
        </w:tc>
        <w:tc>
          <w:tcPr>
            <w:tcW w:w="6648" w:type="dxa"/>
            <w:noWrap/>
            <w:vAlign w:val="center"/>
          </w:tcPr>
          <w:p>
            <w:pPr>
              <w:widowControl/>
              <w:numPr>
                <w:ilvl w:val="0"/>
                <w:numId w:val="0"/>
              </w:numPr>
              <w:wordWrap w:val="0"/>
              <w:jc w:val="left"/>
              <w:rPr>
                <w:rFonts w:hint="eastAsia"/>
                <w:color w:val="auto"/>
                <w:lang w:val="en-US" w:eastAsia="zh-CN"/>
              </w:rPr>
            </w:pPr>
            <w:r>
              <w:rPr>
                <w:rFonts w:hint="eastAsia"/>
                <w:color w:val="auto"/>
                <w:lang w:val="en-US" w:eastAsia="zh-CN"/>
              </w:rPr>
              <w:t>提供投标产品样品（硬麻包和联麻包样品各1个），根据样品的外观、材质、性能、是否符合临床需求、产品市场信誉度等综合评定，优9-11分；良得6-8分；差得1-5分；</w:t>
            </w:r>
            <w:r>
              <w:rPr>
                <w:rFonts w:hint="eastAsia"/>
                <w:b/>
                <w:bCs/>
                <w:color w:val="auto"/>
                <w:lang w:val="en-US" w:eastAsia="zh-CN"/>
              </w:rPr>
              <w:t>未提供或提供不全本项不得分</w:t>
            </w:r>
            <w:r>
              <w:rPr>
                <w:rFonts w:hint="eastAsia"/>
                <w:color w:val="auto"/>
                <w:lang w:val="en-US" w:eastAsia="zh-CN"/>
              </w:rPr>
              <w:t>。</w:t>
            </w:r>
          </w:p>
          <w:p>
            <w:pPr>
              <w:widowControl/>
              <w:numPr>
                <w:ilvl w:val="0"/>
                <w:numId w:val="0"/>
              </w:numPr>
              <w:wordWrap w:val="0"/>
              <w:ind w:left="0" w:leftChars="0" w:firstLine="0" w:firstLineChars="0"/>
              <w:jc w:val="left"/>
              <w:rPr>
                <w:rFonts w:hint="eastAsia" w:asciiTheme="minorHAnsi" w:hAnsiTheme="minorHAnsi" w:eastAsiaTheme="minorEastAsia" w:cstheme="minorBidi"/>
                <w:color w:val="auto"/>
                <w:kern w:val="2"/>
                <w:sz w:val="21"/>
                <w:szCs w:val="22"/>
                <w:lang w:val="en-US" w:eastAsia="zh-CN" w:bidi="ar-SA"/>
              </w:rPr>
            </w:pPr>
            <w:r>
              <w:rPr>
                <w:rFonts w:hint="eastAsia"/>
                <w:b/>
                <w:bCs/>
                <w:color w:val="auto"/>
                <w:lang w:val="en-US" w:eastAsia="zh-CN"/>
              </w:rPr>
              <w:t>注：</w:t>
            </w:r>
            <w:r>
              <w:rPr>
                <w:rFonts w:hint="eastAsia"/>
                <w:color w:val="auto"/>
                <w:lang w:val="en-US" w:eastAsia="zh-CN"/>
              </w:rPr>
              <w:t>要求提供的样品</w:t>
            </w:r>
            <w:r>
              <w:rPr>
                <w:rFonts w:hint="eastAsia"/>
                <w:b/>
                <w:bCs/>
                <w:color w:val="auto"/>
                <w:lang w:val="en-US" w:eastAsia="zh-CN"/>
              </w:rPr>
              <w:t>将品牌LOGO等信息遮住</w:t>
            </w:r>
            <w:r>
              <w:rPr>
                <w:rFonts w:hint="eastAsia"/>
                <w:color w:val="auto"/>
                <w:lang w:val="en-US" w:eastAsia="zh-CN"/>
              </w:rPr>
              <w:t>。（样品品牌信息遮挡不全不得分）</w:t>
            </w:r>
          </w:p>
        </w:tc>
        <w:tc>
          <w:tcPr>
            <w:tcW w:w="643" w:type="dxa"/>
            <w:noWrap/>
            <w:vAlign w:val="center"/>
          </w:tcPr>
          <w:p>
            <w:pPr>
              <w:widowControl/>
              <w:wordWrap w:val="0"/>
              <w:spacing w:line="270" w:lineRule="atLeast"/>
              <w:jc w:val="left"/>
              <w:rPr>
                <w:rFonts w:hint="eastAsia" w:cs="Segoe UI" w:asciiTheme="minorEastAsia" w:hAnsiTheme="minorEastAsia" w:eastAsiaTheme="minorEastAsia"/>
                <w:color w:val="auto"/>
                <w:kern w:val="0"/>
                <w:sz w:val="21"/>
                <w:szCs w:val="21"/>
                <w:lang w:val="en-US" w:eastAsia="zh-CN" w:bidi="ar-SA"/>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08" w:type="dxa"/>
            <w:noWrap/>
            <w:vAlign w:val="center"/>
          </w:tcPr>
          <w:p>
            <w:pPr>
              <w:widowControl/>
              <w:wordWrap w:val="0"/>
              <w:spacing w:line="270" w:lineRule="atLeast"/>
              <w:jc w:val="center"/>
              <w:rPr>
                <w:rFonts w:hint="eastAsia" w:eastAsiaTheme="minorEastAsia"/>
                <w:color w:val="auto"/>
                <w:lang w:eastAsia="zh-CN"/>
              </w:rPr>
            </w:pPr>
            <w:r>
              <w:rPr>
                <w:rFonts w:hint="eastAsia"/>
                <w:color w:val="auto"/>
                <w:lang w:val="en-US" w:eastAsia="zh-CN"/>
              </w:rPr>
              <w:t>4</w:t>
            </w:r>
          </w:p>
        </w:tc>
        <w:tc>
          <w:tcPr>
            <w:tcW w:w="984" w:type="dxa"/>
            <w:noWrap/>
            <w:vAlign w:val="center"/>
          </w:tcPr>
          <w:p>
            <w:pPr>
              <w:widowControl/>
              <w:wordWrap w:val="0"/>
              <w:spacing w:line="270" w:lineRule="atLeast"/>
              <w:jc w:val="center"/>
              <w:rPr>
                <w:color w:val="auto"/>
              </w:rPr>
            </w:pPr>
            <w:r>
              <w:rPr>
                <w:rFonts w:hint="eastAsia"/>
                <w:color w:val="auto"/>
              </w:rPr>
              <w:t>供应商能力</w:t>
            </w:r>
          </w:p>
          <w:p>
            <w:pPr>
              <w:widowControl/>
              <w:wordWrap w:val="0"/>
              <w:spacing w:line="270" w:lineRule="atLeast"/>
              <w:jc w:val="center"/>
              <w:rPr>
                <w:color w:val="auto"/>
              </w:rPr>
            </w:pPr>
            <w:r>
              <w:rPr>
                <w:rFonts w:hint="eastAsia"/>
                <w:color w:val="auto"/>
              </w:rPr>
              <w:t>1</w:t>
            </w:r>
            <w:r>
              <w:rPr>
                <w:rFonts w:hint="eastAsia"/>
                <w:color w:val="auto"/>
                <w:lang w:val="en-US" w:eastAsia="zh-CN"/>
              </w:rPr>
              <w:t>2</w:t>
            </w:r>
            <w:r>
              <w:rPr>
                <w:rFonts w:hint="eastAsia"/>
                <w:color w:val="auto"/>
              </w:rPr>
              <w:t>%</w:t>
            </w:r>
          </w:p>
        </w:tc>
        <w:tc>
          <w:tcPr>
            <w:tcW w:w="480" w:type="dxa"/>
            <w:noWrap/>
            <w:vAlign w:val="center"/>
          </w:tcPr>
          <w:p>
            <w:pPr>
              <w:wordWrap w:val="0"/>
              <w:spacing w:line="270" w:lineRule="atLeast"/>
              <w:jc w:val="center"/>
              <w:rPr>
                <w:color w:val="auto"/>
              </w:rPr>
            </w:pPr>
            <w:r>
              <w:rPr>
                <w:rFonts w:hint="eastAsia"/>
                <w:color w:val="auto"/>
              </w:rPr>
              <w:t>1</w:t>
            </w:r>
            <w:r>
              <w:rPr>
                <w:rFonts w:hint="eastAsia"/>
                <w:color w:val="auto"/>
                <w:lang w:val="en-US" w:eastAsia="zh-CN"/>
              </w:rPr>
              <w:t>2</w:t>
            </w:r>
            <w:r>
              <w:rPr>
                <w:rFonts w:hint="eastAsia"/>
                <w:color w:val="auto"/>
              </w:rPr>
              <w:t>分</w:t>
            </w:r>
          </w:p>
        </w:tc>
        <w:tc>
          <w:tcPr>
            <w:tcW w:w="6648" w:type="dxa"/>
            <w:noWrap/>
            <w:vAlign w:val="center"/>
          </w:tcPr>
          <w:p>
            <w:pPr>
              <w:wordWrap w:val="0"/>
              <w:spacing w:line="270" w:lineRule="atLeast"/>
              <w:jc w:val="left"/>
              <w:rPr>
                <w:color w:val="auto"/>
              </w:rPr>
            </w:pPr>
            <w:r>
              <w:rPr>
                <w:rFonts w:hint="eastAsia"/>
                <w:color w:val="auto"/>
              </w:rPr>
              <w:t>提供投标产品2019年1月1日（含1日）以来国内三甲医院业绩证明，每提供1家业绩证明得2分，最多得1</w:t>
            </w:r>
            <w:r>
              <w:rPr>
                <w:rFonts w:hint="eastAsia"/>
                <w:color w:val="auto"/>
                <w:lang w:val="en-US" w:eastAsia="zh-CN"/>
              </w:rPr>
              <w:t>2</w:t>
            </w:r>
            <w:r>
              <w:rPr>
                <w:rFonts w:hint="eastAsia"/>
                <w:color w:val="auto"/>
              </w:rPr>
              <w:t>分。</w:t>
            </w:r>
          </w:p>
          <w:p>
            <w:pPr>
              <w:rPr>
                <w:color w:val="auto"/>
              </w:rPr>
            </w:pPr>
            <w:r>
              <w:rPr>
                <w:rFonts w:hint="eastAsia"/>
                <w:color w:val="auto"/>
              </w:rPr>
              <w:t>注：提供合同复印件或中标（成交/中选）通知书或发票复印件（若发票复印件上无产品明细则需附销货清单）加盖供应商公章，不提供不得分。</w:t>
            </w:r>
          </w:p>
        </w:tc>
        <w:tc>
          <w:tcPr>
            <w:tcW w:w="643" w:type="dxa"/>
            <w:noWrap/>
            <w:vAlign w:val="center"/>
          </w:tcPr>
          <w:p>
            <w:pPr>
              <w:wordWrap w:val="0"/>
              <w:spacing w:line="270" w:lineRule="atLeast"/>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08" w:type="dxa"/>
            <w:noWrap/>
            <w:vAlign w:val="center"/>
          </w:tcPr>
          <w:p>
            <w:pPr>
              <w:widowControl/>
              <w:wordWrap w:val="0"/>
              <w:spacing w:line="270" w:lineRule="atLeast"/>
              <w:jc w:val="center"/>
              <w:rPr>
                <w:rFonts w:hint="eastAsia" w:eastAsiaTheme="minorEastAsia"/>
                <w:color w:val="auto"/>
                <w:lang w:eastAsia="zh-CN"/>
              </w:rPr>
            </w:pPr>
            <w:r>
              <w:rPr>
                <w:rFonts w:hint="eastAsia"/>
                <w:color w:val="auto"/>
                <w:lang w:val="en-US" w:eastAsia="zh-CN"/>
              </w:rPr>
              <w:t>5</w:t>
            </w:r>
          </w:p>
        </w:tc>
        <w:tc>
          <w:tcPr>
            <w:tcW w:w="984" w:type="dxa"/>
            <w:noWrap/>
            <w:vAlign w:val="center"/>
          </w:tcPr>
          <w:p>
            <w:pPr>
              <w:widowControl/>
              <w:wordWrap w:val="0"/>
              <w:spacing w:line="270" w:lineRule="atLeast"/>
              <w:jc w:val="center"/>
              <w:rPr>
                <w:color w:val="auto"/>
              </w:rPr>
            </w:pPr>
            <w:r>
              <w:rPr>
                <w:rFonts w:hint="eastAsia"/>
                <w:color w:val="auto"/>
              </w:rPr>
              <w:t>售后服务体系</w:t>
            </w:r>
          </w:p>
          <w:p>
            <w:pPr>
              <w:widowControl/>
              <w:wordWrap w:val="0"/>
              <w:spacing w:line="270" w:lineRule="atLeast"/>
              <w:jc w:val="center"/>
              <w:rPr>
                <w:color w:val="auto"/>
              </w:rPr>
            </w:pPr>
            <w:r>
              <w:rPr>
                <w:rFonts w:hint="eastAsia"/>
                <w:color w:val="auto"/>
                <w:lang w:val="en-US" w:eastAsia="zh-CN"/>
              </w:rPr>
              <w:t>12</w:t>
            </w:r>
            <w:r>
              <w:rPr>
                <w:rFonts w:hint="eastAsia"/>
                <w:color w:val="auto"/>
              </w:rPr>
              <w:t>%</w:t>
            </w:r>
          </w:p>
        </w:tc>
        <w:tc>
          <w:tcPr>
            <w:tcW w:w="480" w:type="dxa"/>
            <w:noWrap/>
            <w:vAlign w:val="center"/>
          </w:tcPr>
          <w:p>
            <w:pPr>
              <w:spacing w:line="320" w:lineRule="atLeast"/>
              <w:ind w:left="-105" w:right="-107"/>
              <w:jc w:val="center"/>
              <w:rPr>
                <w:rFonts w:hint="eastAsia"/>
                <w:color w:val="auto"/>
                <w:lang w:val="en-US" w:eastAsia="zh-CN"/>
              </w:rPr>
            </w:pPr>
            <w:r>
              <w:rPr>
                <w:rFonts w:hint="eastAsia"/>
                <w:color w:val="auto"/>
                <w:lang w:val="en-US" w:eastAsia="zh-CN"/>
              </w:rPr>
              <w:t>12</w:t>
            </w:r>
          </w:p>
          <w:p>
            <w:pPr>
              <w:spacing w:line="320" w:lineRule="atLeast"/>
              <w:ind w:left="-105" w:right="-107"/>
              <w:jc w:val="center"/>
              <w:rPr>
                <w:color w:val="auto"/>
              </w:rPr>
            </w:pPr>
            <w:r>
              <w:rPr>
                <w:rFonts w:hint="eastAsia"/>
                <w:color w:val="auto"/>
              </w:rPr>
              <w:t>分</w:t>
            </w:r>
          </w:p>
        </w:tc>
        <w:tc>
          <w:tcPr>
            <w:tcW w:w="6648" w:type="dxa"/>
            <w:noWrap/>
            <w:vAlign w:val="center"/>
          </w:tcPr>
          <w:p>
            <w:pPr>
              <w:widowControl/>
              <w:wordWrap w:val="0"/>
              <w:jc w:val="left"/>
              <w:rPr>
                <w:color w:val="auto"/>
              </w:rPr>
            </w:pPr>
            <w:r>
              <w:rPr>
                <w:rFonts w:hint="eastAsia"/>
                <w:color w:val="auto"/>
              </w:rPr>
              <w:t>根据供应商提供的售后服务方案，包含：①售后服务承诺；②缺货应急方案；③人员培训方案；④产品彩页资料等四个方面进行评审，四个方面提供完整且描述详细，符合</w:t>
            </w:r>
            <w:bookmarkStart w:id="3" w:name="_GoBack"/>
            <w:bookmarkEnd w:id="3"/>
            <w:r>
              <w:rPr>
                <w:rFonts w:hint="eastAsia"/>
                <w:color w:val="auto"/>
              </w:rPr>
              <w:t>本项目实际情况、有利于项目实施的得</w:t>
            </w:r>
            <w:r>
              <w:rPr>
                <w:rFonts w:hint="eastAsia"/>
                <w:color w:val="auto"/>
                <w:lang w:val="en-US" w:eastAsia="zh-CN"/>
              </w:rPr>
              <w:t>12</w:t>
            </w:r>
            <w:r>
              <w:rPr>
                <w:rFonts w:hint="eastAsia"/>
                <w:color w:val="auto"/>
              </w:rPr>
              <w:t>分；每缺少一项或提供的方案与本项目无关的扣</w:t>
            </w:r>
            <w:r>
              <w:rPr>
                <w:rFonts w:hint="eastAsia"/>
                <w:color w:val="auto"/>
                <w:lang w:val="en-US" w:eastAsia="zh-CN"/>
              </w:rPr>
              <w:t>3</w:t>
            </w:r>
            <w:r>
              <w:rPr>
                <w:rFonts w:hint="eastAsia"/>
                <w:color w:val="auto"/>
              </w:rPr>
              <w:t>分；方案存在缺陷或不合理（缺陷和不合理是指存在不适用项目实际情况的情形、凭空编造、逻辑漏洞、科学原理错误以及不可能实现的夸大情形等)的扣</w:t>
            </w:r>
            <w:r>
              <w:rPr>
                <w:rFonts w:hint="eastAsia"/>
                <w:color w:val="auto"/>
                <w:lang w:val="en-US" w:eastAsia="zh-CN"/>
              </w:rPr>
              <w:t>1.5</w:t>
            </w:r>
            <w:r>
              <w:rPr>
                <w:rFonts w:hint="eastAsia"/>
                <w:color w:val="auto"/>
              </w:rPr>
              <w:t>分，分值扣完为止。</w:t>
            </w:r>
          </w:p>
        </w:tc>
        <w:tc>
          <w:tcPr>
            <w:tcW w:w="643" w:type="dxa"/>
            <w:noWrap/>
            <w:vAlign w:val="center"/>
          </w:tcPr>
          <w:p>
            <w:pPr>
              <w:widowControl/>
              <w:wordWrap w:val="0"/>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163" w:type="dxa"/>
            <w:gridSpan w:val="5"/>
            <w:noWrap/>
            <w:vAlign w:val="center"/>
          </w:tcPr>
          <w:p>
            <w:pPr>
              <w:widowControl/>
              <w:wordWrap w:val="0"/>
              <w:jc w:val="left"/>
              <w:rPr>
                <w:color w:val="auto"/>
              </w:rPr>
            </w:pPr>
            <w:r>
              <w:rPr>
                <w:rFonts w:hint="eastAsia"/>
                <w:color w:val="auto"/>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13506"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tabs>
                <w:tab w:val="left" w:pos="5511"/>
              </w:tabs>
              <w:wordWrap w:val="0"/>
              <w:jc w:val="left"/>
              <w:rPr>
                <w:rFonts w:hint="default" w:ascii="宋体" w:hAnsi="宋体" w:eastAsia="宋体" w:cs="Segoe UI"/>
                <w:color w:val="000000" w:themeColor="text1"/>
                <w:kern w:val="0"/>
                <w:sz w:val="24"/>
                <w:szCs w:val="24"/>
                <w:lang w:val="en-US" w:eastAsia="zh-CN"/>
              </w:rPr>
            </w:pPr>
            <w:r>
              <w:rPr>
                <w:rFonts w:hint="eastAsia" w:ascii="宋体" w:hAnsi="宋体" w:eastAsia="宋体" w:cs="Segoe UI"/>
                <w:color w:val="000000" w:themeColor="text1"/>
                <w:kern w:val="0"/>
                <w:sz w:val="24"/>
                <w:szCs w:val="24"/>
                <w:lang w:eastAsia="zh-CN"/>
              </w:rPr>
              <w:tab/>
            </w:r>
            <w:r>
              <w:rPr>
                <w:rFonts w:hint="eastAsia" w:ascii="宋体" w:hAnsi="宋体" w:eastAsia="宋体" w:cs="Segoe UI"/>
                <w:color w:val="000000" w:themeColor="text1"/>
                <w:kern w:val="0"/>
                <w:sz w:val="24"/>
                <w:szCs w:val="24"/>
                <w:lang w:val="en-US" w:eastAsia="zh-CN"/>
              </w:rPr>
              <w:t>报价总价：       （元）（大写：                 ）</w:t>
            </w:r>
          </w:p>
        </w:tc>
      </w:tr>
    </w:tbl>
    <w:p>
      <w:pPr>
        <w:widowControl/>
        <w:shd w:val="clear" w:color="auto" w:fill="FFFFFF"/>
        <w:wordWrap w:val="0"/>
        <w:jc w:val="left"/>
        <w:rPr>
          <w:rFonts w:hint="eastAsia"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5"/>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30AAD"/>
    <w:multiLevelType w:val="singleLevel"/>
    <w:tmpl w:val="66C30A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365344A5"/>
    <w:rsid w:val="51CB3FD0"/>
    <w:rsid w:val="5536063D"/>
    <w:rsid w:val="62FA0171"/>
    <w:rsid w:val="65C660EF"/>
    <w:rsid w:val="78BA1DAC"/>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alloon Text"/>
    <w:basedOn w:val="1"/>
    <w:link w:val="20"/>
    <w:semiHidden/>
    <w:unhideWhenUsed/>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qFormat/>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uiPriority w:val="99"/>
    <w:rPr>
      <w:sz w:val="21"/>
      <w:szCs w:val="21"/>
    </w:rPr>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qFormat/>
    <w:uiPriority w:val="99"/>
  </w:style>
  <w:style w:type="character" w:customStyle="1" w:styleId="19">
    <w:name w:val="批注主题 Char"/>
    <w:basedOn w:val="18"/>
    <w:link w:val="10"/>
    <w:semiHidden/>
    <w:uiPriority w:val="99"/>
    <w:rPr>
      <w:b/>
      <w:bCs/>
    </w:rPr>
  </w:style>
  <w:style w:type="character" w:customStyle="1" w:styleId="20">
    <w:name w:val="批注框文本 Char"/>
    <w:basedOn w:val="13"/>
    <w:link w:val="6"/>
    <w:semiHidden/>
    <w:uiPriority w:val="99"/>
    <w:rPr>
      <w:sz w:val="18"/>
      <w:szCs w:val="18"/>
    </w:rPr>
  </w:style>
  <w:style w:type="character" w:customStyle="1" w:styleId="21">
    <w:name w:val="fontstyle01"/>
    <w:basedOn w:val="13"/>
    <w:uiPriority w:val="0"/>
    <w:rPr>
      <w:rFonts w:ascii="SegoeUI" w:hAnsi="SegoeUI" w:eastAsia="SegoeUI" w:cs="SegoeUI"/>
      <w:color w:val="333333"/>
      <w:sz w:val="16"/>
      <w:szCs w:val="16"/>
    </w:rPr>
  </w:style>
  <w:style w:type="character" w:customStyle="1" w:styleId="22">
    <w:name w:val="fontstyle11"/>
    <w:basedOn w:val="13"/>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2</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2022-12-28T07:23:43Z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