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sz w:val="44"/>
          <w:szCs w:val="44"/>
        </w:rPr>
      </w:pPr>
      <w:r>
        <w:rPr>
          <w:rFonts w:hint="eastAsia" w:ascii="黑体" w:hAnsi="黑体" w:eastAsia="黑体" w:cs="黑体"/>
          <w:b/>
          <w:bCs/>
          <w:kern w:val="0"/>
          <w:sz w:val="32"/>
          <w:szCs w:val="32"/>
          <w:shd w:val="clear" w:color="auto" w:fill="FFFFFF"/>
          <w:lang w:val="en-US" w:eastAsia="zh-CN" w:bidi="ar"/>
        </w:rPr>
        <w:t>附件1：招标参数</w:t>
      </w:r>
    </w:p>
    <w:p>
      <w:pPr>
        <w:adjustRightInd w:val="0"/>
        <w:snapToGrid w:val="0"/>
        <w:rPr>
          <w:rFonts w:ascii="楷体" w:hAnsi="楷体" w:eastAsia="楷体"/>
          <w:sz w:val="44"/>
          <w:szCs w:val="44"/>
        </w:rPr>
      </w:pPr>
      <w:r>
        <w:rPr>
          <w:rFonts w:hint="eastAsia" w:ascii="楷体" w:hAnsi="楷体" w:eastAsia="楷体"/>
          <w:sz w:val="44"/>
          <w:szCs w:val="44"/>
        </w:rPr>
        <w:t>说明：</w:t>
      </w:r>
    </w:p>
    <w:p>
      <w:pPr>
        <w:pStyle w:val="2"/>
        <w:spacing w:after="0" w:line="500" w:lineRule="exact"/>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lang w:val="en-US" w:eastAsia="zh-CN"/>
        </w:rPr>
        <w:t>文</w:t>
      </w:r>
      <w:r>
        <w:rPr>
          <w:rFonts w:hint="eastAsia" w:cs="仿宋" w:asciiTheme="majorEastAsia" w:hAnsiTheme="majorEastAsia" w:eastAsiaTheme="majorEastAsia"/>
          <w:b/>
          <w:sz w:val="24"/>
          <w:szCs w:val="21"/>
        </w:rPr>
        <w:t>中标注“★”号的条款为本项目的实质性要求，供应商应全部满足，否</w:t>
      </w:r>
      <w:r>
        <w:rPr>
          <w:rFonts w:hint="eastAsia" w:cs="仿宋" w:asciiTheme="majorEastAsia" w:hAnsiTheme="majorEastAsia" w:eastAsiaTheme="majorEastAsia"/>
          <w:b/>
          <w:sz w:val="24"/>
          <w:szCs w:val="21"/>
          <w:u w:val="single"/>
        </w:rPr>
        <w:t>则</w:t>
      </w:r>
      <w:r>
        <w:rPr>
          <w:rFonts w:hint="eastAsia" w:cs="仿宋" w:asciiTheme="majorEastAsia" w:hAnsiTheme="majorEastAsia" w:eastAsiaTheme="majorEastAsia"/>
          <w:b/>
          <w:sz w:val="24"/>
          <w:szCs w:val="21"/>
        </w:rPr>
        <w:t>其投标文件作无效处理。“▲”符号的条款为本项目的重要参数条款，未标识符号的条款为一般参数条款</w:t>
      </w:r>
      <w:r>
        <w:rPr>
          <w:rFonts w:hint="eastAsia" w:cs="仿宋" w:asciiTheme="majorEastAsia" w:hAnsiTheme="majorEastAsia" w:eastAsiaTheme="majorEastAsia"/>
          <w:b/>
          <w:sz w:val="24"/>
          <w:szCs w:val="21"/>
          <w:lang w:eastAsia="zh-CN"/>
        </w:rPr>
        <w:t>。</w:t>
      </w:r>
    </w:p>
    <w:p>
      <w:pPr>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采购清单</w:t>
      </w:r>
    </w:p>
    <w:tbl>
      <w:tblPr>
        <w:tblStyle w:val="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311"/>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73"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sz w:val="24"/>
                <w:szCs w:val="24"/>
              </w:rPr>
            </w:pPr>
            <w:r>
              <w:rPr>
                <w:rFonts w:ascii="微软雅黑" w:hAnsi="微软雅黑" w:eastAsia="微软雅黑" w:cstheme="minorBidi"/>
                <w:sz w:val="24"/>
                <w:szCs w:val="24"/>
              </w:rPr>
              <w:t>序号</w:t>
            </w:r>
          </w:p>
        </w:tc>
        <w:tc>
          <w:tcPr>
            <w:tcW w:w="6311"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sz w:val="24"/>
                <w:szCs w:val="24"/>
              </w:rPr>
            </w:pPr>
            <w:r>
              <w:rPr>
                <w:rFonts w:hint="eastAsia" w:ascii="微软雅黑" w:hAnsi="微软雅黑" w:eastAsia="微软雅黑" w:cstheme="minorBidi"/>
                <w:sz w:val="24"/>
                <w:szCs w:val="24"/>
              </w:rPr>
              <w:t>货物名称</w:t>
            </w:r>
          </w:p>
        </w:tc>
        <w:tc>
          <w:tcPr>
            <w:tcW w:w="931"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sz w:val="24"/>
                <w:szCs w:val="24"/>
              </w:rPr>
            </w:pPr>
            <w:r>
              <w:rPr>
                <w:rFonts w:hint="eastAsia" w:ascii="微软雅黑" w:hAnsi="微软雅黑" w:eastAsia="微软雅黑" w:cstheme="minorBidi"/>
                <w:sz w:val="24"/>
                <w:szCs w:val="24"/>
              </w:rPr>
              <w:t>数量</w:t>
            </w:r>
          </w:p>
        </w:tc>
        <w:tc>
          <w:tcPr>
            <w:tcW w:w="931"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sz w:val="24"/>
                <w:szCs w:val="24"/>
              </w:rPr>
            </w:pPr>
            <w:r>
              <w:rPr>
                <w:rFonts w:hint="eastAsia" w:ascii="微软雅黑" w:hAnsi="微软雅黑" w:eastAsia="微软雅黑" w:cstheme="minorBidi"/>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3" w:type="dxa"/>
            <w:shd w:val="clear" w:color="auto" w:fill="auto"/>
            <w:vAlign w:val="center"/>
          </w:tcPr>
          <w:p>
            <w:pPr>
              <w:pStyle w:val="12"/>
              <w:widowControl/>
              <w:adjustRightInd w:val="0"/>
              <w:snapToGrid w:val="0"/>
              <w:spacing w:line="360" w:lineRule="auto"/>
              <w:ind w:left="420" w:leftChars="0" w:firstLine="0" w:firstLineChars="0"/>
              <w:rPr>
                <w:rFonts w:hint="eastAsia"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631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uto"/>
              <w:ind w:right="0"/>
              <w:jc w:val="center"/>
              <w:rPr>
                <w:rFonts w:hint="eastAsia" w:ascii="微软雅黑" w:hAnsi="微软雅黑" w:eastAsia="微软雅黑" w:cstheme="minorBidi"/>
                <w:sz w:val="24"/>
                <w:szCs w:val="24"/>
              </w:rPr>
            </w:pPr>
            <w:r>
              <w:rPr>
                <w:rFonts w:hint="eastAsia" w:ascii="微软雅黑" w:hAnsi="微软雅黑" w:eastAsia="微软雅黑" w:cstheme="minorBidi"/>
                <w:kern w:val="2"/>
                <w:sz w:val="24"/>
                <w:szCs w:val="24"/>
                <w:lang w:val="en-US" w:eastAsia="zh-CN" w:bidi="ar-SA"/>
              </w:rPr>
              <w:t>四川省妇幼保健院财务管理信息系统优化升级项目</w:t>
            </w:r>
          </w:p>
        </w:tc>
        <w:tc>
          <w:tcPr>
            <w:tcW w:w="931"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kern w:val="2"/>
                <w:sz w:val="24"/>
                <w:szCs w:val="24"/>
                <w:lang w:val="en-US" w:eastAsia="zh-CN" w:bidi="ar-SA"/>
              </w:rPr>
            </w:pPr>
            <w:r>
              <w:rPr>
                <w:rFonts w:hint="eastAsia" w:ascii="微软雅黑" w:hAnsi="微软雅黑" w:eastAsia="微软雅黑" w:cstheme="minorBidi"/>
                <w:kern w:val="2"/>
                <w:sz w:val="24"/>
                <w:szCs w:val="24"/>
                <w:lang w:val="en-US" w:eastAsia="zh-CN" w:bidi="ar-SA"/>
              </w:rPr>
              <w:t>1</w:t>
            </w:r>
          </w:p>
        </w:tc>
        <w:tc>
          <w:tcPr>
            <w:tcW w:w="931" w:type="dxa"/>
            <w:shd w:val="clear" w:color="auto" w:fill="auto"/>
            <w:vAlign w:val="center"/>
          </w:tcPr>
          <w:p>
            <w:pPr>
              <w:widowControl/>
              <w:adjustRightInd w:val="0"/>
              <w:snapToGrid w:val="0"/>
              <w:spacing w:line="360" w:lineRule="auto"/>
              <w:jc w:val="center"/>
              <w:rPr>
                <w:rFonts w:hint="eastAsia" w:ascii="微软雅黑" w:hAnsi="微软雅黑" w:eastAsia="微软雅黑" w:cstheme="minorBidi"/>
                <w:kern w:val="2"/>
                <w:sz w:val="24"/>
                <w:szCs w:val="24"/>
                <w:lang w:val="en-US" w:eastAsia="zh-CN" w:bidi="ar-SA"/>
              </w:rPr>
            </w:pPr>
            <w:r>
              <w:rPr>
                <w:rFonts w:hint="eastAsia" w:ascii="微软雅黑" w:hAnsi="微软雅黑" w:eastAsia="微软雅黑" w:cstheme="minorBidi"/>
                <w:kern w:val="2"/>
                <w:sz w:val="24"/>
                <w:szCs w:val="24"/>
                <w:lang w:val="en-US" w:eastAsia="zh-CN" w:bidi="ar-SA"/>
              </w:rPr>
              <w:t>项</w:t>
            </w:r>
          </w:p>
        </w:tc>
      </w:tr>
    </w:tbl>
    <w:p>
      <w:pPr>
        <w:jc w:val="both"/>
        <w:rPr>
          <w:rFonts w:hint="eastAsia" w:ascii="宋体" w:hAnsi="宋体" w:eastAsia="宋体" w:cs="宋体"/>
          <w:b/>
          <w:bCs/>
          <w:color w:val="auto"/>
          <w:sz w:val="24"/>
          <w:szCs w:val="24"/>
          <w:highlight w:val="none"/>
          <w:lang w:val="en-US" w:eastAsia="zh-CN"/>
        </w:rPr>
      </w:pPr>
    </w:p>
    <w:p>
      <w:pPr>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技术要求</w:t>
      </w:r>
    </w:p>
    <w:tbl>
      <w:tblPr>
        <w:tblStyle w:val="9"/>
        <w:tblW w:w="9585" w:type="dxa"/>
        <w:tblInd w:w="-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5"/>
        <w:gridCol w:w="8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1395" w:type="dxa"/>
          </w:tcPr>
          <w:p>
            <w:pPr>
              <w:jc w:val="center"/>
              <w:rPr>
                <w:rFonts w:ascii="微软雅黑" w:hAnsi="微软雅黑" w:eastAsia="微软雅黑" w:cs="宋体"/>
                <w:color w:val="auto"/>
                <w:sz w:val="24"/>
                <w:szCs w:val="24"/>
              </w:rPr>
            </w:pPr>
          </w:p>
        </w:tc>
        <w:tc>
          <w:tcPr>
            <w:tcW w:w="8190" w:type="dxa"/>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1395"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技术要求</w:t>
            </w:r>
          </w:p>
        </w:tc>
        <w:tc>
          <w:tcPr>
            <w:tcW w:w="8190" w:type="dxa"/>
          </w:tcPr>
          <w:p>
            <w:pPr>
              <w:pStyle w:val="2"/>
              <w:numPr>
                <w:ilvl w:val="255"/>
                <w:numId w:val="0"/>
              </w:numPr>
              <w:spacing w:after="0" w:line="360" w:lineRule="auto"/>
              <w:outlineLvl w:val="1"/>
              <w:rPr>
                <w:rFonts w:asciiTheme="minorEastAsia" w:hAnsiTheme="minorEastAsia" w:eastAsiaTheme="minorEastAsia" w:cstheme="minorEastAsia"/>
                <w:kern w:val="0"/>
                <w:sz w:val="20"/>
                <w:szCs w:val="20"/>
              </w:rPr>
            </w:pPr>
            <w:r>
              <w:rPr>
                <w:rFonts w:hint="eastAsia" w:ascii="宋体" w:hAnsi="宋体" w:cs="宋体"/>
                <w:b/>
                <w:bCs/>
                <w:sz w:val="24"/>
              </w:rPr>
              <w:t>1.</w:t>
            </w:r>
            <w:r>
              <w:rPr>
                <w:rFonts w:hint="eastAsia" w:ascii="仿宋" w:hAnsi="仿宋" w:eastAsia="仿宋" w:cs="仿宋"/>
                <w:b/>
                <w:bCs/>
                <w:sz w:val="28"/>
                <w:szCs w:val="28"/>
              </w:rPr>
              <w:t xml:space="preserve"> 核算管理</w:t>
            </w:r>
          </w:p>
          <w:p>
            <w:pPr>
              <w:pStyle w:val="2"/>
              <w:spacing w:after="0" w:line="360" w:lineRule="auto"/>
              <w:ind w:firstLine="420"/>
              <w:rPr>
                <w:rFonts w:ascii="华文仿宋" w:hAnsi="华文仿宋" w:eastAsia="华文仿宋" w:cs="华文仿宋"/>
                <w:sz w:val="24"/>
              </w:rPr>
            </w:pPr>
            <w:r>
              <w:rPr>
                <w:rFonts w:hint="eastAsia" w:asciiTheme="minorEastAsia" w:hAnsiTheme="minorEastAsia" w:eastAsiaTheme="minorEastAsia" w:cstheme="minorEastAsia"/>
                <w:szCs w:val="21"/>
              </w:rPr>
              <w:t>★</w:t>
            </w:r>
            <w:r>
              <w:rPr>
                <w:rFonts w:hint="eastAsia" w:ascii="华文仿宋" w:hAnsi="华文仿宋" w:eastAsia="华文仿宋" w:cs="华文仿宋"/>
                <w:sz w:val="24"/>
              </w:rPr>
              <w:t>核算体系标准管理：统一制定并固化会计科目体系，依据核算标准设定科目对应，满足管控统一标准要求。支持统一设定辅助核算维度，满足统一管控要求，统一制定核算基础设置规则，包括科目辅助核算设置、数量账、外币账设置等。根据核算业务规范要求设定业务控制及检查标准。</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★日常账务处理：过财务系统会计核算模块的账务处理</w:t>
            </w:r>
            <w:r>
              <w:rPr>
                <w:rFonts w:ascii="华文仿宋" w:hAnsi="华文仿宋" w:eastAsia="华文仿宋" w:cs="华文仿宋"/>
                <w:sz w:val="24"/>
              </w:rPr>
              <w:t>正确及时地反映各项经济业务的发生及完成情况</w:t>
            </w:r>
            <w:r>
              <w:rPr>
                <w:rFonts w:hint="eastAsia" w:ascii="华文仿宋" w:hAnsi="华文仿宋" w:eastAsia="华文仿宋" w:cs="华文仿宋"/>
                <w:sz w:val="24"/>
              </w:rPr>
              <w:t>，编制</w:t>
            </w:r>
            <w:r>
              <w:rPr>
                <w:rFonts w:ascii="华文仿宋" w:hAnsi="华文仿宋" w:eastAsia="华文仿宋" w:cs="华文仿宋"/>
                <w:sz w:val="24"/>
              </w:rPr>
              <w:t>会计凭证记录经济业务发生或完成的日期、经济业务的内容</w:t>
            </w:r>
            <w:r>
              <w:rPr>
                <w:rFonts w:hint="eastAsia" w:ascii="华文仿宋" w:hAnsi="华文仿宋" w:eastAsia="华文仿宋" w:cs="华文仿宋"/>
                <w:sz w:val="24"/>
              </w:rPr>
              <w:t>，经过审核无误后登记入明细账，并汇总登记入总分类账。支持不同业务场景多种方式生成凭证。通过业务单据融合，业务驱动财务，自动生成凭证，提高凭证处理效率，实现业务财务一体化。定义标准凭证模板，满足不同行业财务核算个性需求。实现手工制证、各业务单据自动生成凭证、选择凭证模版制证、通过外部文件导入凭证制证、外部业务系统集成凭证等多种方式。</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★期末结转：</w:t>
            </w:r>
            <w:r>
              <w:rPr>
                <w:rFonts w:ascii="华文仿宋" w:hAnsi="华文仿宋" w:eastAsia="华文仿宋" w:cs="华文仿宋"/>
                <w:sz w:val="24"/>
              </w:rPr>
              <w:t>期末</w:t>
            </w:r>
            <w:r>
              <w:rPr>
                <w:rFonts w:hint="eastAsia" w:ascii="华文仿宋" w:hAnsi="华文仿宋" w:eastAsia="华文仿宋" w:cs="华文仿宋"/>
                <w:sz w:val="24"/>
              </w:rPr>
              <w:t>的会计工作主要是</w:t>
            </w:r>
            <w:r>
              <w:rPr>
                <w:rFonts w:ascii="华文仿宋" w:hAnsi="华文仿宋" w:eastAsia="华文仿宋" w:cs="华文仿宋"/>
                <w:sz w:val="24"/>
              </w:rPr>
              <w:t>将未在平时记录却影响当前财务状况和经营成果的会计事项，通过编制调整分录加以补记，并将其过账，结</w:t>
            </w:r>
            <w:r>
              <w:rPr>
                <w:rFonts w:hint="eastAsia" w:ascii="华文仿宋" w:hAnsi="华文仿宋" w:eastAsia="华文仿宋" w:cs="华文仿宋"/>
                <w:sz w:val="24"/>
              </w:rPr>
              <w:t>算</w:t>
            </w:r>
            <w:r>
              <w:rPr>
                <w:rFonts w:ascii="华文仿宋" w:hAnsi="华文仿宋" w:eastAsia="华文仿宋" w:cs="华文仿宋"/>
                <w:sz w:val="24"/>
              </w:rPr>
              <w:t>各个</w:t>
            </w:r>
            <w:r>
              <w:rPr>
                <w:rFonts w:hint="eastAsia" w:ascii="华文仿宋" w:hAnsi="华文仿宋" w:eastAsia="华文仿宋" w:cs="华文仿宋"/>
                <w:sz w:val="24"/>
              </w:rPr>
              <w:t>账户</w:t>
            </w:r>
            <w:r>
              <w:rPr>
                <w:rFonts w:ascii="华文仿宋" w:hAnsi="华文仿宋" w:eastAsia="华文仿宋" w:cs="华文仿宋"/>
                <w:sz w:val="24"/>
              </w:rPr>
              <w:t>调整后的期末余额。</w:t>
            </w:r>
            <w:r>
              <w:rPr>
                <w:rFonts w:hint="eastAsia" w:ascii="华文仿宋" w:hAnsi="华文仿宋" w:eastAsia="华文仿宋" w:cs="华文仿宋"/>
                <w:sz w:val="24"/>
              </w:rPr>
              <w:t>在所有账务处理的错误都清查和更正之后，</w:t>
            </w:r>
            <w:r>
              <w:rPr>
                <w:rFonts w:ascii="华文仿宋" w:hAnsi="华文仿宋" w:eastAsia="华文仿宋" w:cs="华文仿宋"/>
                <w:sz w:val="24"/>
              </w:rPr>
              <w:t>把</w:t>
            </w:r>
            <w:r>
              <w:rPr>
                <w:rFonts w:hint="eastAsia" w:ascii="华文仿宋" w:hAnsi="华文仿宋" w:eastAsia="华文仿宋" w:cs="华文仿宋"/>
                <w:sz w:val="24"/>
              </w:rPr>
              <w:t>本期</w:t>
            </w:r>
            <w:r>
              <w:rPr>
                <w:rFonts w:ascii="华文仿宋" w:hAnsi="华文仿宋" w:eastAsia="华文仿宋" w:cs="华文仿宋"/>
                <w:sz w:val="24"/>
              </w:rPr>
              <w:t>各账户</w:t>
            </w:r>
            <w:r>
              <w:rPr>
                <w:rFonts w:hint="eastAsia" w:ascii="华文仿宋" w:hAnsi="华文仿宋" w:eastAsia="华文仿宋" w:cs="华文仿宋"/>
                <w:sz w:val="24"/>
              </w:rPr>
              <w:t>的期末</w:t>
            </w:r>
            <w:r>
              <w:rPr>
                <w:rFonts w:ascii="华文仿宋" w:hAnsi="华文仿宋" w:eastAsia="华文仿宋" w:cs="华文仿宋"/>
                <w:sz w:val="24"/>
              </w:rPr>
              <w:t>余额结转</w:t>
            </w:r>
            <w:r>
              <w:rPr>
                <w:rFonts w:hint="eastAsia" w:ascii="华文仿宋" w:hAnsi="华文仿宋" w:eastAsia="华文仿宋" w:cs="华文仿宋"/>
                <w:sz w:val="24"/>
              </w:rPr>
              <w:t>到下期的期初余额。完成期末处理相关工作后则可以进行结束会计期间的财务报表编制工作。期末实现损益类科目月末自动结转，年末损益类明细科目自动清零。简化财务结转处理，提高账务结转效率。</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账务查询：集团各级单位通过总账、明细账、银行存款日记账、库存现金日记账、科目汇总表、主对象汇总表、主辅查询、业务分类查询等账务查询、数据查询功能，实现不同核算维度查询，通过科目主维度及其他辅助维度的组合查询，满足各层次数据查询分析要求；实现不同口径汇总查询，通过设置合并范围，可按财务产权口径及管理口径查询；实现按服务单位范围查询，根据权限管理，管理中心可实现跨单位查询凭证、账簿，实现账簿共享管理。</w:t>
            </w:r>
            <w:r>
              <w:rPr>
                <w:rFonts w:ascii="华文仿宋" w:hAnsi="华文仿宋" w:eastAsia="华文仿宋" w:cs="华文仿宋"/>
                <w:sz w:val="24"/>
              </w:rPr>
              <w:t xml:space="preserve"> </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凭证查询：集团各级单位的会计人员根据账务日常业务发生查询单位对应凭证数据；拥有查询权限的用户调用查询功能，设定账套、凭证状态、凭证日期、记账日期、凭证包含的科目、记录的金额范围、摘要包含的关键字等查询条件，系统根据条件查询汇总形成符合条件的会计凭证列表，并向用户展示会计凭证的完整信息。查询条件科目按当前登录用户与当前登录组织过滤科目选择范围；查询结果中底层单位记录可穿透凭证，通过凭证可穿透业务单据。凭证查询提供未完成凭证查询、已完成凭证查询、所有凭证查询和凭证分录查询。其中未完成凭证查询和已完成凭证查询实现为发生凭证单位的会计人员查询自己所制证、处理过的凭证记录。所有凭证查询和凭证分录查询则为会计人员查询所选单位的所有凭证、凭证分录信息。完成查询后，使用者可根据其权限对查询结果调用，进行修改、审核、打印等功能。</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总账：集团各级单位的财务人员可以通过定义查询条件如会计期间、会计科目、单位等条件查询总账。集团总部可直接查询各下级单位总账。登录组织为非底层单位时，提供单位选择，单位选择范围为当前单位及其下级单位，单位按层次显示；可多选单位，任意层次单位均可选择。多选科目，科目选择范围为当前登录组织的科目体系，任意层次科目均可选择；汇总数据由最底层单位按单位层次逐级汇总得到，明细数据显示下级单位明细，明细记录前的单位显示最底层单位名称。支持从集团公司查询总账，并支持从集团总账穿透到明细单位、明细账，同时可以进一步的穿透到凭证界面；支持查询各个层级科目数据，选择非底层单位可以查询合并数、抵销数、汇总数，底层单位只提供汇总查询；支持数据按模版打印及导出到电子文档。</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明细账：根据账务日常业务发生查询单位对应科目发生的明细账；明细账查询需设置查询条件，查询条件包括会计年度、单位、期间、科目、币种。单选科目，科目选择范围为当前登录组织的科目体系，任意层次科目均可选择；按当前登录用户与当前登录组织过滤科目选择范围；汇总数据由最底层单位按单位层次逐级汇总得到，明细数据显示下级单位明细，明细记录前的单位显示最底层单位名称，明细记录按时间、单位名称、凭证编号排序。查询结果中底层单位记录可穿透凭证，通过凭证可穿透业务单据。只有选择一个底层单位时，显示对象类型、管理对象供选择。选择汇总单位可以查询合并数、抵销数、汇总数。</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日记账：单位的出纳根据账务日常业务发生查询单位对应发生在银行存款、库存现金科目上的日记账；日记账查询需设置查询条件，查询条件包括会计年度、单位、期间、科目、币种。单选科目，科目选择范围为当前登录组织的科目体系，任意层次科目均可选择；按当前登录用户与当前登录组织过滤科目选择范围；查询结果中底层单位记录可穿透凭证，通过凭证可穿透业务单据。支持用户按照所选日期过滤和按日汇总凭证数据。</w:t>
            </w:r>
          </w:p>
          <w:p>
            <w:pPr>
              <w:pStyle w:val="2"/>
              <w:spacing w:after="0" w:line="360" w:lineRule="auto"/>
              <w:ind w:firstLine="420"/>
              <w:rPr>
                <w:rFonts w:ascii="华文仿宋" w:hAnsi="华文仿宋" w:eastAsia="华文仿宋" w:cs="华文仿宋"/>
                <w:sz w:val="24"/>
              </w:rPr>
            </w:pPr>
            <w:r>
              <w:rPr>
                <w:rFonts w:hint="eastAsia" w:ascii="华文仿宋" w:hAnsi="华文仿宋" w:eastAsia="华文仿宋" w:cs="华文仿宋"/>
                <w:sz w:val="24"/>
              </w:rPr>
              <w:t>★科目汇总表：单位的财务人员可以通过定义查询条件如会计期间、会计科目、单位等条件查询科目汇总表。查询结果显示的汇总数据单位名称以汇总单位命名（例如：期初数、本月合计、年累计），汇总数据由最底层单位按单位层次逐级汇总得到，明细数据显示下级单位明细，明细记录前的单位显示最底层单位名称。提供科目维度、对象维度数据查询；同时在科目维度中又支持按单位查询和按科目查询；支持从集团公司查询科目汇总表，并支持从集团科目汇总表穿透到明细单位、明细账，同时可以进一步的穿透到凭证界面；支持查询各个层级科目数据，并通过条件【对象】选择【显示】来显示科目及其主对象数据；选择非底层单位可以查询合并数、抵销数、汇总数，底层单位只提供汇总查询；支持数据按模版打印及导出到电子文档。</w:t>
            </w:r>
          </w:p>
          <w:p>
            <w:pPr>
              <w:pStyle w:val="2"/>
              <w:spacing w:after="0" w:line="360" w:lineRule="auto"/>
              <w:ind w:firstLine="420"/>
              <w:rPr>
                <w:rFonts w:ascii="宋体" w:hAnsi="宋体"/>
              </w:rPr>
            </w:pPr>
            <w:r>
              <w:rPr>
                <w:rFonts w:hint="eastAsia" w:ascii="华文仿宋" w:hAnsi="华文仿宋" w:eastAsia="华文仿宋" w:cs="华文仿宋"/>
                <w:sz w:val="24"/>
              </w:rPr>
              <w:t>★账表打印：财务人员每个账期内处理的财务业务凭证，以及凭证汇总形成的总账、明细账、日记账等各种账簿，需要在结账之后打印并存档。对凭证、总账、明细账、日记账等账表的单张、批量打印以及科目汇总表的打印。</w:t>
            </w:r>
          </w:p>
          <w:p>
            <w:pPr>
              <w:pStyle w:val="2"/>
              <w:numPr>
                <w:ilvl w:val="255"/>
                <w:numId w:val="0"/>
              </w:numPr>
              <w:spacing w:after="0" w:line="360" w:lineRule="auto"/>
              <w:outlineLvl w:val="1"/>
              <w:rPr>
                <w:rFonts w:ascii="宋体" w:hAnsi="宋体" w:cs="宋体"/>
                <w:b/>
                <w:bCs/>
                <w:sz w:val="24"/>
              </w:rPr>
            </w:pPr>
            <w:r>
              <w:rPr>
                <w:rFonts w:hint="eastAsia" w:ascii="宋体" w:hAnsi="宋体" w:cs="宋体"/>
                <w:b/>
                <w:bCs/>
                <w:sz w:val="24"/>
              </w:rPr>
              <w:t>2.报表管理</w:t>
            </w:r>
          </w:p>
          <w:p>
            <w:pPr>
              <w:ind w:firstLine="480" w:firstLineChars="200"/>
              <w:rPr>
                <w:rFonts w:ascii="华文仿宋" w:hAnsi="华文仿宋" w:eastAsia="华文仿宋" w:cs="华文仿宋"/>
                <w:sz w:val="24"/>
              </w:rPr>
            </w:pPr>
            <w:r>
              <w:rPr>
                <w:rFonts w:hint="eastAsia" w:ascii="华文仿宋" w:hAnsi="华文仿宋" w:eastAsia="华文仿宋" w:cs="华文仿宋"/>
                <w:sz w:val="24"/>
              </w:rPr>
              <w:t>★</w:t>
            </w:r>
            <w:r>
              <w:rPr>
                <w:rFonts w:ascii="华文仿宋" w:hAnsi="华文仿宋" w:eastAsia="华文仿宋" w:cs="华文仿宋"/>
                <w:sz w:val="24"/>
              </w:rPr>
              <w:t>报表系统支持统一的报表格式，也适用于各级组织进行报表的制定、下发、收集、审核、上报等相关业务工作。可提供报表编制、数据采集和报表过程管理的全方位管理服务。支持按需定制报表和任务，支持报表数据手工录入和自动计算</w:t>
            </w:r>
            <w:r>
              <w:rPr>
                <w:rFonts w:hint="eastAsia" w:ascii="华文仿宋" w:hAnsi="华文仿宋" w:eastAsia="华文仿宋" w:cs="华文仿宋"/>
                <w:sz w:val="24"/>
              </w:rPr>
              <w:t>报表内置医疗行业标准财务报表模板和预算报表模板，经过权限设置后，可直接取数。报表模板支持手工修改，用户自定义。</w:t>
            </w:r>
          </w:p>
          <w:p>
            <w:pPr>
              <w:pStyle w:val="2"/>
              <w:numPr>
                <w:ilvl w:val="255"/>
                <w:numId w:val="0"/>
              </w:numPr>
              <w:spacing w:after="0" w:line="360" w:lineRule="auto"/>
              <w:outlineLvl w:val="1"/>
              <w:rPr>
                <w:rFonts w:ascii="宋体" w:hAnsi="宋体" w:cs="宋体"/>
                <w:b/>
                <w:bCs/>
                <w:sz w:val="24"/>
              </w:rPr>
            </w:pPr>
            <w:r>
              <w:rPr>
                <w:rFonts w:hint="eastAsia" w:ascii="宋体" w:hAnsi="宋体" w:cs="宋体"/>
                <w:b/>
                <w:bCs/>
                <w:sz w:val="24"/>
              </w:rPr>
              <w:t>3.</w:t>
            </w:r>
            <w:r>
              <w:rPr>
                <w:rFonts w:hint="eastAsia" w:ascii="宋体" w:hAnsi="宋体" w:cs="仿宋"/>
                <w:b/>
                <w:bCs/>
                <w:sz w:val="24"/>
              </w:rPr>
              <w:t>对账管理</w:t>
            </w:r>
          </w:p>
          <w:p>
            <w:pPr>
              <w:ind w:firstLine="480" w:firstLineChars="200"/>
              <w:rPr>
                <w:rFonts w:ascii="华文仿宋" w:hAnsi="华文仿宋" w:eastAsia="华文仿宋" w:cs="华文仿宋"/>
                <w:sz w:val="24"/>
              </w:rPr>
            </w:pPr>
            <w:r>
              <w:rPr>
                <w:rFonts w:hint="eastAsia" w:ascii="华文仿宋" w:hAnsi="华文仿宋" w:eastAsia="华文仿宋" w:cs="华文仿宋"/>
                <w:sz w:val="24"/>
              </w:rPr>
              <w:t>★</w:t>
            </w:r>
            <w:r>
              <w:rPr>
                <w:rFonts w:ascii="华文仿宋" w:hAnsi="华文仿宋" w:eastAsia="华文仿宋" w:cs="华文仿宋"/>
                <w:sz w:val="24"/>
              </w:rPr>
              <w:t>现金日记帐、银行日记帐</w:t>
            </w:r>
            <w:r>
              <w:rPr>
                <w:rFonts w:hint="eastAsia" w:ascii="华文仿宋" w:hAnsi="华文仿宋" w:eastAsia="华文仿宋" w:cs="华文仿宋"/>
                <w:sz w:val="24"/>
              </w:rPr>
              <w:t>支持</w:t>
            </w:r>
            <w:r>
              <w:rPr>
                <w:rFonts w:ascii="华文仿宋" w:hAnsi="华文仿宋" w:eastAsia="华文仿宋" w:cs="华文仿宋"/>
                <w:sz w:val="24"/>
              </w:rPr>
              <w:t>实现自动从账务处理、往来账管理中提出有关现金/银行存款收支的交易凭证，并自动产生日记帐。</w:t>
            </w:r>
          </w:p>
          <w:p>
            <w:pPr>
              <w:ind w:firstLine="480" w:firstLineChars="200"/>
              <w:rPr>
                <w:rFonts w:ascii="华文仿宋" w:hAnsi="华文仿宋" w:eastAsia="华文仿宋" w:cs="华文仿宋"/>
                <w:sz w:val="24"/>
              </w:rPr>
            </w:pPr>
            <w:r>
              <w:rPr>
                <w:rFonts w:hint="eastAsia" w:ascii="华文仿宋" w:hAnsi="华文仿宋" w:eastAsia="华文仿宋" w:cs="华文仿宋"/>
                <w:sz w:val="24"/>
              </w:rPr>
              <w:t>★支持</w:t>
            </w:r>
            <w:r>
              <w:rPr>
                <w:rFonts w:ascii="华文仿宋" w:hAnsi="华文仿宋" w:eastAsia="华文仿宋" w:cs="华文仿宋"/>
                <w:sz w:val="24"/>
              </w:rPr>
              <w:t>自动生成银行存款余额调节表。对采购方银行存款余额和收付情况在线实时查询，下载银行对账单。</w:t>
            </w:r>
          </w:p>
          <w:p>
            <w:pPr>
              <w:ind w:firstLine="480" w:firstLineChars="200"/>
              <w:rPr>
                <w:rFonts w:ascii="华文仿宋" w:hAnsi="华文仿宋" w:eastAsia="华文仿宋" w:cs="华文仿宋"/>
                <w:sz w:val="24"/>
              </w:rPr>
            </w:pPr>
            <w:r>
              <w:rPr>
                <w:rFonts w:hint="eastAsia" w:ascii="华文仿宋" w:hAnsi="华文仿宋" w:eastAsia="华文仿宋" w:cs="华文仿宋"/>
                <w:sz w:val="24"/>
              </w:rPr>
              <w:t>★支持导入银行交易明细后，采用智能一键式对账功能，瞬间完成整月的对账工作，并自动出具余额调节表，交由会计主管进行在线审核。</w:t>
            </w:r>
          </w:p>
          <w:p>
            <w:pPr>
              <w:pStyle w:val="2"/>
              <w:numPr>
                <w:ilvl w:val="255"/>
                <w:numId w:val="0"/>
              </w:numPr>
              <w:spacing w:after="0" w:line="360" w:lineRule="auto"/>
              <w:outlineLvl w:val="1"/>
              <w:rPr>
                <w:rFonts w:ascii="宋体" w:hAnsi="宋体" w:cs="宋体"/>
                <w:b/>
                <w:bCs/>
                <w:sz w:val="24"/>
              </w:rPr>
            </w:pPr>
            <w:r>
              <w:rPr>
                <w:rFonts w:hint="eastAsia" w:ascii="宋体" w:hAnsi="宋体" w:cs="宋体"/>
                <w:b/>
                <w:bCs/>
                <w:sz w:val="24"/>
              </w:rPr>
              <w:t>4.报账平台</w:t>
            </w:r>
          </w:p>
          <w:p>
            <w:pPr>
              <w:ind w:firstLine="480" w:firstLineChars="200"/>
              <w:rPr>
                <w:rFonts w:ascii="华文仿宋" w:hAnsi="华文仿宋" w:eastAsia="华文仿宋" w:cs="华文仿宋"/>
                <w:sz w:val="24"/>
              </w:rPr>
            </w:pPr>
            <w:r>
              <w:rPr>
                <w:rFonts w:ascii="华文仿宋" w:hAnsi="华文仿宋" w:eastAsia="华文仿宋" w:cs="华文仿宋"/>
                <w:sz w:val="24"/>
              </w:rPr>
              <w:t>支持定义和维护</w:t>
            </w:r>
            <w:r>
              <w:rPr>
                <w:rFonts w:hint="eastAsia" w:ascii="华文仿宋" w:hAnsi="华文仿宋" w:eastAsia="华文仿宋" w:cs="华文仿宋"/>
                <w:sz w:val="24"/>
              </w:rPr>
              <w:t>报销</w:t>
            </w:r>
            <w:r>
              <w:rPr>
                <w:rFonts w:ascii="华文仿宋" w:hAnsi="华文仿宋" w:eastAsia="华文仿宋" w:cs="华文仿宋"/>
                <w:sz w:val="24"/>
              </w:rPr>
              <w:t>单据项目，可根据实际业务应用灵活调整；</w:t>
            </w:r>
          </w:p>
          <w:p>
            <w:pPr>
              <w:ind w:firstLine="480" w:firstLineChars="200"/>
              <w:rPr>
                <w:rFonts w:ascii="华文仿宋" w:hAnsi="华文仿宋" w:eastAsia="华文仿宋" w:cs="华文仿宋"/>
                <w:sz w:val="24"/>
              </w:rPr>
            </w:pPr>
            <w:bookmarkStart w:id="0" w:name="2）通过报账模板维护各类业务报账单的单据内容、业务分类、流程匹配等内容；"/>
            <w:bookmarkEnd w:id="0"/>
            <w:r>
              <w:rPr>
                <w:rFonts w:ascii="华文仿宋" w:hAnsi="华文仿宋" w:eastAsia="华文仿宋" w:cs="华文仿宋"/>
                <w:sz w:val="24"/>
              </w:rPr>
              <w:t>通过</w:t>
            </w:r>
            <w:r>
              <w:rPr>
                <w:rFonts w:hint="eastAsia" w:ascii="华文仿宋" w:hAnsi="华文仿宋" w:eastAsia="华文仿宋" w:cs="华文仿宋"/>
                <w:sz w:val="24"/>
              </w:rPr>
              <w:t>报销</w:t>
            </w:r>
            <w:r>
              <w:rPr>
                <w:rFonts w:ascii="华文仿宋" w:hAnsi="华文仿宋" w:eastAsia="华文仿宋" w:cs="华文仿宋"/>
                <w:sz w:val="24"/>
              </w:rPr>
              <w:t>模板维护各类业务</w:t>
            </w:r>
            <w:r>
              <w:rPr>
                <w:rFonts w:hint="eastAsia" w:ascii="华文仿宋" w:hAnsi="华文仿宋" w:eastAsia="华文仿宋" w:cs="华文仿宋"/>
                <w:sz w:val="24"/>
              </w:rPr>
              <w:t>报销</w:t>
            </w:r>
            <w:r>
              <w:rPr>
                <w:rFonts w:ascii="华文仿宋" w:hAnsi="华文仿宋" w:eastAsia="华文仿宋" w:cs="华文仿宋"/>
                <w:sz w:val="24"/>
              </w:rPr>
              <w:t>单的单据内容、业务分类、流程匹配等内容；</w:t>
            </w:r>
          </w:p>
          <w:p>
            <w:pPr>
              <w:ind w:firstLine="480" w:firstLineChars="200"/>
              <w:rPr>
                <w:rFonts w:ascii="华文仿宋" w:hAnsi="华文仿宋" w:eastAsia="华文仿宋" w:cs="华文仿宋"/>
                <w:sz w:val="24"/>
              </w:rPr>
            </w:pPr>
            <w:bookmarkStart w:id="1" w:name="3）需要支持创建并发布报账体系，包括费用分类、单据模板、控制方案、报账流程等，下"/>
            <w:bookmarkEnd w:id="1"/>
            <w:r>
              <w:rPr>
                <w:rFonts w:ascii="华文仿宋" w:hAnsi="华文仿宋" w:eastAsia="华文仿宋" w:cs="华文仿宋"/>
                <w:sz w:val="24"/>
              </w:rPr>
              <w:t>需要支持创建并发布</w:t>
            </w:r>
            <w:r>
              <w:rPr>
                <w:rFonts w:hint="eastAsia" w:ascii="华文仿宋" w:hAnsi="华文仿宋" w:eastAsia="华文仿宋" w:cs="华文仿宋"/>
                <w:sz w:val="24"/>
              </w:rPr>
              <w:t>报销</w:t>
            </w:r>
            <w:r>
              <w:rPr>
                <w:rFonts w:ascii="华文仿宋" w:hAnsi="华文仿宋" w:eastAsia="华文仿宋" w:cs="华文仿宋"/>
                <w:sz w:val="24"/>
              </w:rPr>
              <w:t>体系，包括费用分类、单据模板、控制方案、</w:t>
            </w:r>
            <w:r>
              <w:rPr>
                <w:rFonts w:hint="eastAsia" w:ascii="华文仿宋" w:hAnsi="华文仿宋" w:eastAsia="华文仿宋" w:cs="华文仿宋"/>
                <w:sz w:val="24"/>
              </w:rPr>
              <w:t>报销</w:t>
            </w:r>
            <w:r>
              <w:rPr>
                <w:rFonts w:ascii="华文仿宋" w:hAnsi="华文仿宋" w:eastAsia="华文仿宋" w:cs="华文仿宋"/>
                <w:sz w:val="24"/>
              </w:rPr>
              <w:t>流程等，下级组织可直接使用或在发布基础上进行细化；</w:t>
            </w:r>
          </w:p>
          <w:p>
            <w:pPr>
              <w:ind w:firstLine="480" w:firstLineChars="200"/>
              <w:rPr>
                <w:rFonts w:ascii="华文仿宋" w:hAnsi="华文仿宋" w:eastAsia="华文仿宋" w:cs="华文仿宋"/>
                <w:sz w:val="24"/>
              </w:rPr>
            </w:pPr>
            <w:bookmarkStart w:id="2" w:name="4）实现以业务流程为主线，将制度、岗位、职责、单据等管理要素嵌入工作流，实现可视"/>
            <w:bookmarkEnd w:id="2"/>
            <w:r>
              <w:rPr>
                <w:rFonts w:ascii="华文仿宋" w:hAnsi="华文仿宋" w:eastAsia="华文仿宋" w:cs="华文仿宋"/>
                <w:sz w:val="24"/>
              </w:rPr>
              <w:t>实现以业务流程为主线，将制度、岗位、职责、单据等管理要素嵌入工作流，实现可视化、标准化；</w:t>
            </w:r>
            <w:bookmarkStart w:id="3" w:name="5）需要支持内置报账标准。报账填单时自动控制，减少人工判断，降低出错风险。_"/>
            <w:bookmarkEnd w:id="3"/>
          </w:p>
          <w:p>
            <w:pPr>
              <w:ind w:firstLine="480" w:firstLineChars="200"/>
              <w:rPr>
                <w:rFonts w:ascii="华文仿宋" w:hAnsi="华文仿宋" w:eastAsia="华文仿宋" w:cs="华文仿宋"/>
                <w:sz w:val="24"/>
              </w:rPr>
            </w:pPr>
            <w:r>
              <w:rPr>
                <w:rFonts w:ascii="华文仿宋" w:hAnsi="华文仿宋" w:eastAsia="华文仿宋" w:cs="华文仿宋"/>
                <w:sz w:val="24"/>
              </w:rPr>
              <w:t>需要支持内置</w:t>
            </w:r>
            <w:r>
              <w:rPr>
                <w:rFonts w:hint="eastAsia" w:ascii="华文仿宋" w:hAnsi="华文仿宋" w:eastAsia="华文仿宋" w:cs="华文仿宋"/>
                <w:sz w:val="24"/>
              </w:rPr>
              <w:t>报销</w:t>
            </w:r>
            <w:r>
              <w:rPr>
                <w:rFonts w:ascii="华文仿宋" w:hAnsi="华文仿宋" w:eastAsia="华文仿宋" w:cs="华文仿宋"/>
                <w:sz w:val="24"/>
              </w:rPr>
              <w:t>标准。</w:t>
            </w:r>
            <w:r>
              <w:rPr>
                <w:rFonts w:hint="eastAsia" w:ascii="华文仿宋" w:hAnsi="华文仿宋" w:eastAsia="华文仿宋" w:cs="华文仿宋"/>
                <w:sz w:val="24"/>
              </w:rPr>
              <w:t>报销</w:t>
            </w:r>
            <w:r>
              <w:rPr>
                <w:rFonts w:ascii="华文仿宋" w:hAnsi="华文仿宋" w:eastAsia="华文仿宋" w:cs="华文仿宋"/>
                <w:sz w:val="24"/>
              </w:rPr>
              <w:t>填单时自动控制，减少人工判断，降低出错风险。</w:t>
            </w:r>
          </w:p>
          <w:p>
            <w:pPr>
              <w:ind w:firstLine="480" w:firstLineChars="200"/>
              <w:rPr>
                <w:rFonts w:ascii="华文仿宋" w:hAnsi="华文仿宋" w:eastAsia="华文仿宋" w:cs="华文仿宋"/>
                <w:sz w:val="24"/>
              </w:rPr>
            </w:pPr>
            <w:r>
              <w:rPr>
                <w:rFonts w:ascii="华文仿宋" w:hAnsi="华文仿宋" w:eastAsia="华文仿宋" w:cs="华文仿宋"/>
                <w:sz w:val="24"/>
              </w:rPr>
              <w:t>支持费用申请管理，在费用发生前审核费用发生的合理性，控制不合理开支；</w:t>
            </w:r>
          </w:p>
          <w:p>
            <w:pPr>
              <w:ind w:firstLine="480" w:firstLineChars="200"/>
              <w:rPr>
                <w:rFonts w:ascii="华文仿宋" w:hAnsi="华文仿宋" w:eastAsia="华文仿宋" w:cs="华文仿宋"/>
                <w:sz w:val="24"/>
              </w:rPr>
            </w:pPr>
            <w:bookmarkStart w:id="4" w:name="2）提供报账系统关键指标实时查看，并按角色分层级展示；_"/>
            <w:bookmarkEnd w:id="4"/>
            <w:r>
              <w:rPr>
                <w:rFonts w:ascii="华文仿宋" w:hAnsi="华文仿宋" w:eastAsia="华文仿宋" w:cs="华文仿宋"/>
                <w:sz w:val="24"/>
              </w:rPr>
              <w:t>提供</w:t>
            </w:r>
            <w:r>
              <w:rPr>
                <w:rFonts w:hint="eastAsia" w:ascii="华文仿宋" w:hAnsi="华文仿宋" w:eastAsia="华文仿宋" w:cs="华文仿宋"/>
                <w:sz w:val="24"/>
              </w:rPr>
              <w:t>报销</w:t>
            </w:r>
            <w:r>
              <w:rPr>
                <w:rFonts w:ascii="华文仿宋" w:hAnsi="华文仿宋" w:eastAsia="华文仿宋" w:cs="华文仿宋"/>
                <w:sz w:val="24"/>
              </w:rPr>
              <w:t>系统关键指标实时查看，并按角色分层级展示；</w:t>
            </w:r>
          </w:p>
          <w:p>
            <w:pPr>
              <w:ind w:firstLine="480" w:firstLineChars="200"/>
              <w:rPr>
                <w:rFonts w:ascii="华文仿宋" w:hAnsi="华文仿宋" w:eastAsia="华文仿宋" w:cs="华文仿宋"/>
                <w:sz w:val="24"/>
              </w:rPr>
            </w:pPr>
            <w:bookmarkStart w:id="5" w:name="3）提供借还款管理，支持不同管理模式的借还款。"/>
            <w:bookmarkEnd w:id="5"/>
            <w:r>
              <w:rPr>
                <w:rFonts w:ascii="华文仿宋" w:hAnsi="华文仿宋" w:eastAsia="华文仿宋" w:cs="华文仿宋"/>
                <w:sz w:val="24"/>
              </w:rPr>
              <w:t>提供借还款管理，支持不同管理模式的借还款。</w:t>
            </w:r>
          </w:p>
          <w:p>
            <w:pPr>
              <w:ind w:firstLine="480" w:firstLineChars="200"/>
              <w:rPr>
                <w:rFonts w:ascii="华文仿宋" w:hAnsi="华文仿宋" w:eastAsia="华文仿宋" w:cs="华文仿宋"/>
                <w:sz w:val="24"/>
              </w:rPr>
            </w:pPr>
            <w:bookmarkStart w:id="6" w:name="4）提供多种报账模式pc端、移动端报销，适应不同报账应用场景；"/>
            <w:bookmarkEnd w:id="6"/>
            <w:bookmarkStart w:id="7" w:name="5）报账界面简洁易用，普通员工、领导、财务人员分别有不同的工作台界面。"/>
            <w:bookmarkEnd w:id="7"/>
            <w:r>
              <w:rPr>
                <w:rFonts w:hint="eastAsia" w:ascii="华文仿宋" w:hAnsi="华文仿宋" w:eastAsia="华文仿宋" w:cs="华文仿宋"/>
                <w:sz w:val="24"/>
              </w:rPr>
              <w:t>报销</w:t>
            </w:r>
            <w:r>
              <w:rPr>
                <w:rFonts w:ascii="华文仿宋" w:hAnsi="华文仿宋" w:eastAsia="华文仿宋" w:cs="华文仿宋"/>
                <w:sz w:val="24"/>
              </w:rPr>
              <w:t>界面简洁易用，普通员工、领导、财务人员分别有不同的工作台界面。</w:t>
            </w:r>
          </w:p>
          <w:p>
            <w:pPr>
              <w:ind w:firstLine="480" w:firstLineChars="200"/>
              <w:rPr>
                <w:rFonts w:ascii="华文仿宋" w:hAnsi="华文仿宋" w:eastAsia="华文仿宋" w:cs="华文仿宋"/>
                <w:sz w:val="24"/>
              </w:rPr>
            </w:pPr>
            <w:bookmarkStart w:id="8" w:name="6）提供在线的发票真伪识别和查重功能；_"/>
            <w:bookmarkEnd w:id="8"/>
            <w:bookmarkStart w:id="9" w:name="7）提供二维码应用功能；_"/>
            <w:bookmarkEnd w:id="9"/>
            <w:bookmarkStart w:id="10" w:name="8）提供适当预警消息提醒功能，例如借款催还、待办事项等。"/>
            <w:bookmarkEnd w:id="10"/>
            <w:r>
              <w:rPr>
                <w:rFonts w:ascii="华文仿宋" w:hAnsi="华文仿宋" w:eastAsia="华文仿宋" w:cs="华文仿宋"/>
                <w:sz w:val="24"/>
              </w:rPr>
              <w:t>支持会签流程；</w:t>
            </w:r>
          </w:p>
          <w:p>
            <w:pPr>
              <w:ind w:firstLine="480" w:firstLineChars="200"/>
              <w:rPr>
                <w:rFonts w:ascii="华文仿宋" w:hAnsi="华文仿宋" w:eastAsia="华文仿宋" w:cs="华文仿宋"/>
                <w:sz w:val="24"/>
              </w:rPr>
            </w:pPr>
            <w:bookmarkStart w:id="11" w:name="2）支持记录流程审批轨迹，并记录每个审批环节花费的时间，审批人，审批意见等。"/>
            <w:bookmarkEnd w:id="11"/>
            <w:r>
              <w:rPr>
                <w:rFonts w:ascii="华文仿宋" w:hAnsi="华文仿宋" w:eastAsia="华文仿宋" w:cs="华文仿宋"/>
                <w:sz w:val="24"/>
              </w:rPr>
              <w:t>支持记录流程审批轨迹，并记录每个审批环节花费的时间，审批人，审批意见等。</w:t>
            </w:r>
          </w:p>
          <w:p>
            <w:pPr>
              <w:ind w:firstLine="480" w:firstLineChars="200"/>
              <w:rPr>
                <w:rFonts w:ascii="华文仿宋" w:hAnsi="华文仿宋" w:eastAsia="华文仿宋" w:cs="华文仿宋"/>
                <w:sz w:val="24"/>
              </w:rPr>
            </w:pPr>
            <w:bookmarkStart w:id="12" w:name="3）支持流程中设置上下级汇报关系；_"/>
            <w:bookmarkEnd w:id="12"/>
            <w:bookmarkStart w:id="13" w:name="4）支持多种待办信息提醒；系统信息、邮件提醒功能；_"/>
            <w:bookmarkEnd w:id="13"/>
            <w:r>
              <w:rPr>
                <w:rFonts w:ascii="华文仿宋" w:hAnsi="华文仿宋" w:eastAsia="华文仿宋" w:cs="华文仿宋"/>
                <w:sz w:val="24"/>
              </w:rPr>
              <w:t>对单据查询内容进行权限控制；</w:t>
            </w:r>
          </w:p>
          <w:p>
            <w:pPr>
              <w:ind w:firstLine="480" w:firstLineChars="200"/>
              <w:rPr>
                <w:rFonts w:ascii="华文仿宋" w:hAnsi="华文仿宋" w:eastAsia="华文仿宋" w:cs="华文仿宋"/>
                <w:sz w:val="24"/>
              </w:rPr>
            </w:pPr>
            <w:bookmarkStart w:id="14" w:name="2）支持对查询信息的导出、下载（Excel、XML）；"/>
            <w:bookmarkEnd w:id="14"/>
            <w:r>
              <w:rPr>
                <w:rFonts w:ascii="华文仿宋" w:hAnsi="华文仿宋" w:eastAsia="华文仿宋" w:cs="华文仿宋"/>
                <w:sz w:val="24"/>
              </w:rPr>
              <w:t>支持对查询信息的导出、下载（Excel、XML）；</w:t>
            </w:r>
          </w:p>
          <w:p>
            <w:pPr>
              <w:ind w:firstLine="480" w:firstLineChars="200"/>
              <w:rPr>
                <w:rFonts w:ascii="华文仿宋" w:hAnsi="华文仿宋" w:eastAsia="华文仿宋" w:cs="华文仿宋"/>
                <w:sz w:val="24"/>
              </w:rPr>
            </w:pPr>
            <w:bookmarkStart w:id="15" w:name="3）提供业务单据查询，可查询报账单据的填制情况、审批详情；"/>
            <w:bookmarkEnd w:id="15"/>
            <w:r>
              <w:rPr>
                <w:rFonts w:ascii="华文仿宋" w:hAnsi="华文仿宋" w:eastAsia="华文仿宋" w:cs="华文仿宋"/>
                <w:sz w:val="24"/>
              </w:rPr>
              <w:t>提供业务单据查询，可查询</w:t>
            </w:r>
            <w:r>
              <w:rPr>
                <w:rFonts w:hint="eastAsia" w:ascii="华文仿宋" w:hAnsi="华文仿宋" w:eastAsia="华文仿宋" w:cs="华文仿宋"/>
                <w:sz w:val="24"/>
              </w:rPr>
              <w:t>报销</w:t>
            </w:r>
            <w:r>
              <w:rPr>
                <w:rFonts w:ascii="华文仿宋" w:hAnsi="华文仿宋" w:eastAsia="华文仿宋" w:cs="华文仿宋"/>
                <w:sz w:val="24"/>
              </w:rPr>
              <w:t>单据的填制情况、审批详情；</w:t>
            </w:r>
          </w:p>
          <w:p>
            <w:pPr>
              <w:ind w:firstLine="480" w:firstLineChars="200"/>
              <w:rPr>
                <w:rFonts w:ascii="华文仿宋" w:hAnsi="华文仿宋" w:eastAsia="华文仿宋" w:cs="华文仿宋"/>
                <w:sz w:val="24"/>
              </w:rPr>
            </w:pPr>
            <w:bookmarkStart w:id="16" w:name="4）支持未完成单据查询、已完成单据查询，可以查询单据填单情况，审批详情；"/>
            <w:bookmarkEnd w:id="16"/>
            <w:r>
              <w:rPr>
                <w:rFonts w:ascii="华文仿宋" w:hAnsi="华文仿宋" w:eastAsia="华文仿宋" w:cs="华文仿宋"/>
                <w:sz w:val="24"/>
              </w:rPr>
              <w:t>支持未完成单据查询、已完成单据查询，可以查询单据填单情况，审批详情；</w:t>
            </w:r>
          </w:p>
          <w:p>
            <w:pPr>
              <w:ind w:firstLine="482" w:firstLineChars="200"/>
              <w:rPr>
                <w:rFonts w:ascii="华文仿宋" w:hAnsi="华文仿宋" w:eastAsia="华文仿宋" w:cs="华文仿宋"/>
                <w:sz w:val="24"/>
              </w:rPr>
            </w:pPr>
            <w:bookmarkStart w:id="17" w:name="5）系统提供借还款单查询，可实时查询借款单据的还款情况，并可层层穿透到业务发生原"/>
            <w:bookmarkEnd w:id="17"/>
            <w:r>
              <w:rPr>
                <w:rFonts w:hint="eastAsia" w:cs="仿宋" w:asciiTheme="majorEastAsia" w:hAnsiTheme="majorEastAsia" w:eastAsiaTheme="majorEastAsia"/>
                <w:b/>
                <w:sz w:val="24"/>
                <w:szCs w:val="21"/>
              </w:rPr>
              <w:t>▲</w:t>
            </w:r>
            <w:r>
              <w:rPr>
                <w:rFonts w:ascii="华文仿宋" w:hAnsi="华文仿宋" w:eastAsia="华文仿宋" w:cs="华文仿宋"/>
                <w:sz w:val="24"/>
              </w:rPr>
              <w:t>系统提供借还款单查询，可实时查询借款单据的还款情况，并可层层穿透到业务发生原单，数据清晰可追溯；</w:t>
            </w:r>
            <w:bookmarkStart w:id="18" w:name="5）支持财务审核等特殊岗位高效核对单据与原始票据；_"/>
            <w:bookmarkEnd w:id="18"/>
            <w:bookmarkStart w:id="19" w:name="6）报账单审批完成后，对需要支付的事项，可推送支付清单，进行后续支付；_"/>
            <w:bookmarkEnd w:id="19"/>
          </w:p>
          <w:p>
            <w:pPr>
              <w:pStyle w:val="2"/>
              <w:numPr>
                <w:ilvl w:val="255"/>
                <w:numId w:val="0"/>
              </w:numPr>
              <w:spacing w:after="0" w:line="360" w:lineRule="auto"/>
              <w:outlineLvl w:val="1"/>
              <w:rPr>
                <w:rFonts w:ascii="宋体" w:hAnsi="宋体" w:cs="宋体"/>
                <w:b/>
                <w:bCs/>
                <w:sz w:val="24"/>
              </w:rPr>
            </w:pPr>
            <w:r>
              <w:rPr>
                <w:rFonts w:ascii="宋体" w:hAnsi="宋体" w:cs="宋体"/>
                <w:b/>
                <w:bCs/>
                <w:sz w:val="24"/>
              </w:rPr>
              <w:t>5</w:t>
            </w:r>
            <w:r>
              <w:rPr>
                <w:rFonts w:hint="eastAsia" w:ascii="宋体" w:hAnsi="宋体" w:cs="宋体"/>
                <w:b/>
                <w:bCs/>
                <w:sz w:val="24"/>
              </w:rPr>
              <w:t>.预算管理</w:t>
            </w:r>
          </w:p>
          <w:p>
            <w:pPr>
              <w:ind w:firstLine="480" w:firstLineChars="200"/>
              <w:rPr>
                <w:rFonts w:ascii="华文仿宋" w:hAnsi="华文仿宋" w:eastAsia="华文仿宋" w:cs="华文仿宋"/>
                <w:sz w:val="24"/>
              </w:rPr>
            </w:pPr>
            <w:r>
              <w:rPr>
                <w:rFonts w:hint="eastAsia" w:ascii="华文仿宋" w:hAnsi="华文仿宋" w:eastAsia="华文仿宋" w:cs="华文仿宋"/>
                <w:sz w:val="24"/>
              </w:rPr>
              <w:t>构建适用于医院的预算管理线上智能化平台，围绕医院发展战略，合理分配医院各种资源，提供收入及支出预算编制、控制执行、预算调整、查询分析、到考核对标全过程闭环管理的预算产品，业务间无缝衔接，信息及时一致，有效协同。唯有闭环管理才能发挥高效性,控制医院经营风险，促进医院决策科学化，提高经营效率和管控能力，提升价值创造能力。预算管理按照管理过程划分为战略规划、目标分解、预算编制、监控调整、评价考核五个环节。预算管理模块的功能主要包括预算管理基础体系的设置、预算的编制上报下达、预算调整、预算控制及查询分析。</w:t>
            </w:r>
          </w:p>
          <w:p>
            <w:pPr>
              <w:ind w:firstLine="482" w:firstLineChars="200"/>
              <w:rPr>
                <w:rFonts w:ascii="华文仿宋" w:hAnsi="华文仿宋" w:eastAsia="华文仿宋" w:cs="华文仿宋"/>
                <w:sz w:val="24"/>
              </w:rPr>
            </w:pPr>
            <w:r>
              <w:rPr>
                <w:rFonts w:hint="eastAsia" w:cs="仿宋" w:asciiTheme="majorEastAsia" w:hAnsiTheme="majorEastAsia" w:eastAsiaTheme="majorEastAsia"/>
                <w:b/>
                <w:sz w:val="24"/>
                <w:szCs w:val="21"/>
              </w:rPr>
              <w:t>▲</w:t>
            </w:r>
            <w:r>
              <w:rPr>
                <w:rFonts w:hint="eastAsia" w:ascii="华文仿宋" w:hAnsi="华文仿宋" w:eastAsia="华文仿宋" w:cs="华文仿宋"/>
                <w:sz w:val="24"/>
              </w:rPr>
              <w:t>预算编制：通过对期间、版本、组织、指标、辅助维度、属性等维度进行动态组合，快速构建编制模版，满足不同组织、不同业务（收入\支出业务）、不同环节对编制、审核模板展示要求。支持灵活定义预算编制的编报关系，包含表单的编制前后顺序，编制的组织范围、流程、表单模板等内容。</w:t>
            </w:r>
          </w:p>
          <w:p>
            <w:pPr>
              <w:ind w:firstLine="482" w:firstLineChars="200"/>
              <w:rPr>
                <w:rFonts w:ascii="华文仿宋" w:hAnsi="华文仿宋" w:eastAsia="华文仿宋" w:cs="华文仿宋"/>
                <w:sz w:val="24"/>
              </w:rPr>
            </w:pPr>
            <w:r>
              <w:rPr>
                <w:rFonts w:hint="eastAsia" w:cs="仿宋" w:asciiTheme="majorEastAsia" w:hAnsiTheme="majorEastAsia" w:eastAsiaTheme="majorEastAsia"/>
                <w:b/>
                <w:sz w:val="24"/>
                <w:szCs w:val="21"/>
              </w:rPr>
              <w:t>▲</w:t>
            </w:r>
            <w:r>
              <w:rPr>
                <w:rFonts w:hint="eastAsia" w:ascii="华文仿宋" w:hAnsi="华文仿宋" w:eastAsia="华文仿宋" w:cs="华文仿宋"/>
                <w:sz w:val="24"/>
              </w:rPr>
              <w:t>预算调整：支持预算年中调整、日常调整。支持医院自上而下的进行目标调整；支持各部门自下而上发起调整申请；日常调整支持科目间调剂、责任中心间调剂等多种内部调剂方式。当预算不足，需要追加科目预算，可以由业务部门发起调整，由本级财务审核。控制三公经费不允许调整。可设置相应调整规则：例如调整后预算数不能超一下版本下达的预算数。通过内部调剂功能实现本单位下级责任中心预算科目的预算数据调剂。</w:t>
            </w:r>
          </w:p>
          <w:p>
            <w:pPr>
              <w:ind w:firstLine="482" w:firstLineChars="200"/>
              <w:rPr>
                <w:rFonts w:ascii="华文仿宋" w:hAnsi="华文仿宋" w:eastAsia="华文仿宋" w:cs="华文仿宋"/>
                <w:sz w:val="24"/>
              </w:rPr>
            </w:pPr>
            <w:r>
              <w:rPr>
                <w:rFonts w:hint="eastAsia" w:cs="仿宋" w:asciiTheme="majorEastAsia" w:hAnsiTheme="majorEastAsia" w:eastAsiaTheme="majorEastAsia"/>
                <w:b/>
                <w:sz w:val="24"/>
                <w:szCs w:val="21"/>
              </w:rPr>
              <w:t>▲</w:t>
            </w:r>
            <w:r>
              <w:rPr>
                <w:rFonts w:hint="eastAsia" w:ascii="华文仿宋" w:hAnsi="华文仿宋" w:eastAsia="华文仿宋" w:cs="华文仿宋"/>
                <w:sz w:val="24"/>
              </w:rPr>
              <w:t>预算控制功能</w:t>
            </w:r>
            <w:r>
              <w:rPr>
                <w:rFonts w:ascii="华文仿宋" w:hAnsi="华文仿宋" w:eastAsia="华文仿宋" w:cs="华文仿宋"/>
                <w:sz w:val="24"/>
              </w:rPr>
              <w:t>：</w:t>
            </w:r>
            <w:r>
              <w:rPr>
                <w:rFonts w:hint="eastAsia" w:ascii="华文仿宋" w:hAnsi="华文仿宋" w:eastAsia="华文仿宋" w:cs="华文仿宋"/>
                <w:sz w:val="24"/>
              </w:rPr>
              <w:t>通过内部衔接功能实现对系统内其他模块的业务控制。根据</w:t>
            </w:r>
            <w:r>
              <w:rPr>
                <w:rFonts w:ascii="华文仿宋" w:hAnsi="华文仿宋" w:eastAsia="华文仿宋" w:cs="华文仿宋"/>
                <w:sz w:val="24"/>
              </w:rPr>
              <w:t>控制模</w:t>
            </w:r>
            <w:r>
              <w:rPr>
                <w:rFonts w:hint="eastAsia" w:ascii="华文仿宋" w:hAnsi="华文仿宋" w:eastAsia="华文仿宋" w:cs="华文仿宋"/>
                <w:sz w:val="24"/>
              </w:rPr>
              <w:t>型</w:t>
            </w:r>
            <w:r>
              <w:rPr>
                <w:rFonts w:ascii="华文仿宋" w:hAnsi="华文仿宋" w:eastAsia="华文仿宋" w:cs="华文仿宋"/>
                <w:sz w:val="24"/>
              </w:rPr>
              <w:t>对</w:t>
            </w:r>
            <w:r>
              <w:rPr>
                <w:rFonts w:hint="eastAsia" w:ascii="华文仿宋" w:hAnsi="华文仿宋" w:eastAsia="华文仿宋" w:cs="华文仿宋"/>
                <w:sz w:val="24"/>
              </w:rPr>
              <w:t>业务</w:t>
            </w:r>
            <w:r>
              <w:rPr>
                <w:rFonts w:ascii="华文仿宋" w:hAnsi="华文仿宋" w:eastAsia="华文仿宋" w:cs="华文仿宋"/>
                <w:sz w:val="24"/>
              </w:rPr>
              <w:t>进行控制，</w:t>
            </w:r>
            <w:r>
              <w:rPr>
                <w:rFonts w:hint="eastAsia" w:ascii="华文仿宋" w:hAnsi="华文仿宋" w:eastAsia="华文仿宋" w:cs="华文仿宋"/>
                <w:sz w:val="24"/>
              </w:rPr>
              <w:t>在控制周期上，可按年进行预算控制。在控制深度上，可以按明细预算科目进行单项控制，按选择若干明细预算科目或按责任中心的同类明细预算科目的汇总数进行汇总控制。在控制强度上，可以选择刚性控制、柔性控制、不控制等。在控制途径上，可根据不同业务需要，灵活设置每类业务的预算控制节点，支持在业务单据申请时控制和在凭证发生时控制。</w:t>
            </w:r>
          </w:p>
          <w:p>
            <w:pPr>
              <w:ind w:firstLine="482" w:firstLineChars="200"/>
              <w:rPr>
                <w:rFonts w:hint="eastAsia" w:ascii="仿宋" w:hAnsi="仿宋" w:eastAsia="仿宋" w:cs="仿宋"/>
                <w:b/>
                <w:bCs/>
                <w:sz w:val="21"/>
                <w:szCs w:val="21"/>
              </w:rPr>
            </w:pPr>
            <w:r>
              <w:rPr>
                <w:rFonts w:hint="eastAsia" w:cs="仿宋" w:asciiTheme="majorEastAsia" w:hAnsiTheme="majorEastAsia" w:eastAsiaTheme="majorEastAsia"/>
                <w:b/>
                <w:sz w:val="24"/>
                <w:szCs w:val="21"/>
              </w:rPr>
              <w:t>▲</w:t>
            </w:r>
            <w:r>
              <w:rPr>
                <w:rFonts w:hint="eastAsia" w:ascii="华文仿宋" w:hAnsi="华文仿宋" w:eastAsia="华文仿宋" w:cs="华文仿宋"/>
                <w:sz w:val="24"/>
              </w:rPr>
              <w:t>预算执行查询：提供查询多维度的预算及执行信息，包括查询预算体系信息、编制过程信息、编制结果数据及执行分析查询，提供穿透查询到明细记录的功能。</w:t>
            </w:r>
          </w:p>
        </w:tc>
      </w:tr>
    </w:tbl>
    <w:p>
      <w:pPr>
        <w:pStyle w:val="12"/>
        <w:pageBreakBefore/>
        <w:numPr>
          <w:ilvl w:val="0"/>
          <w:numId w:val="1"/>
        </w:numPr>
        <w:adjustRightInd w:val="0"/>
        <w:snapToGrid w:val="0"/>
        <w:spacing w:before="156" w:beforeLines="50" w:after="156" w:afterLines="50" w:line="360" w:lineRule="auto"/>
        <w:ind w:left="280" w:leftChars="0" w:firstLine="0" w:firstLineChars="0"/>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评分标准</w:t>
      </w:r>
    </w:p>
    <w:tbl>
      <w:tblPr>
        <w:tblStyle w:val="9"/>
        <w:tblpPr w:leftFromText="180" w:rightFromText="180" w:vertAnchor="text" w:horzAnchor="margin" w:tblpX="14"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09"/>
        <w:gridCol w:w="765"/>
        <w:gridCol w:w="428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widowControl/>
              <w:jc w:val="center"/>
              <w:rPr>
                <w:rFonts w:ascii="宋体" w:hAnsi="宋体" w:cs="宋体"/>
                <w:kern w:val="0"/>
                <w:szCs w:val="21"/>
              </w:rPr>
            </w:pPr>
            <w:r>
              <w:rPr>
                <w:rFonts w:hint="eastAsia" w:ascii="宋体" w:hAnsi="宋体" w:cs="宋体"/>
                <w:b/>
                <w:kern w:val="0"/>
                <w:szCs w:val="21"/>
              </w:rPr>
              <w:t>序号</w:t>
            </w:r>
          </w:p>
        </w:tc>
        <w:tc>
          <w:tcPr>
            <w:tcW w:w="1210" w:type="dxa"/>
            <w:vAlign w:val="center"/>
          </w:tcPr>
          <w:p>
            <w:pPr>
              <w:widowControl/>
              <w:jc w:val="center"/>
              <w:rPr>
                <w:rFonts w:ascii="宋体" w:hAnsi="宋体" w:cs="宋体"/>
                <w:kern w:val="0"/>
                <w:szCs w:val="21"/>
              </w:rPr>
            </w:pPr>
            <w:r>
              <w:rPr>
                <w:rFonts w:hint="eastAsia" w:ascii="宋体" w:hAnsi="宋体" w:cs="宋体"/>
                <w:b/>
                <w:kern w:val="0"/>
                <w:szCs w:val="21"/>
              </w:rPr>
              <w:t>评分因素</w:t>
            </w:r>
          </w:p>
        </w:tc>
        <w:tc>
          <w:tcPr>
            <w:tcW w:w="765" w:type="dxa"/>
            <w:vAlign w:val="center"/>
          </w:tcPr>
          <w:p>
            <w:pPr>
              <w:widowControl/>
              <w:jc w:val="center"/>
              <w:rPr>
                <w:rFonts w:ascii="宋体" w:hAnsi="宋体" w:cs="宋体"/>
                <w:kern w:val="0"/>
                <w:szCs w:val="21"/>
              </w:rPr>
            </w:pPr>
            <w:r>
              <w:rPr>
                <w:rFonts w:hint="eastAsia" w:ascii="宋体" w:hAnsi="宋体" w:cs="宋体"/>
                <w:b/>
                <w:kern w:val="0"/>
                <w:szCs w:val="21"/>
              </w:rPr>
              <w:t>分值</w:t>
            </w:r>
          </w:p>
        </w:tc>
        <w:tc>
          <w:tcPr>
            <w:tcW w:w="4289" w:type="dxa"/>
            <w:vAlign w:val="center"/>
          </w:tcPr>
          <w:p>
            <w:pPr>
              <w:widowControl/>
              <w:jc w:val="center"/>
              <w:rPr>
                <w:rFonts w:ascii="宋体" w:hAnsi="宋体" w:cs="宋体"/>
                <w:kern w:val="0"/>
                <w:szCs w:val="21"/>
              </w:rPr>
            </w:pPr>
            <w:r>
              <w:rPr>
                <w:rFonts w:hint="eastAsia" w:ascii="宋体" w:hAnsi="宋体" w:cs="宋体"/>
                <w:b/>
                <w:kern w:val="0"/>
                <w:szCs w:val="21"/>
              </w:rPr>
              <w:t>评分标准</w:t>
            </w:r>
          </w:p>
        </w:tc>
        <w:tc>
          <w:tcPr>
            <w:tcW w:w="1548" w:type="dxa"/>
            <w:vAlign w:val="center"/>
          </w:tcPr>
          <w:p>
            <w:pPr>
              <w:widowControl/>
              <w:jc w:val="center"/>
              <w:rPr>
                <w:rFonts w:ascii="宋体" w:hAnsi="宋体" w:cs="宋体"/>
                <w:kern w:val="0"/>
                <w:szCs w:val="21"/>
              </w:rPr>
            </w:pPr>
            <w:r>
              <w:rPr>
                <w:rFonts w:hint="eastAsia" w:ascii="宋体" w:hAnsi="宋体" w:cs="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报价</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20分</w:t>
            </w:r>
          </w:p>
        </w:tc>
        <w:tc>
          <w:tcPr>
            <w:tcW w:w="4289" w:type="dxa"/>
            <w:vAlign w:val="center"/>
          </w:tcPr>
          <w:p>
            <w:pPr>
              <w:pStyle w:val="5"/>
              <w:rPr>
                <w:rFonts w:ascii="宋体" w:hAnsi="宋体" w:cs="宋体"/>
                <w:kern w:val="0"/>
                <w:szCs w:val="21"/>
              </w:rPr>
            </w:pPr>
            <w:r>
              <w:rPr>
                <w:rFonts w:hint="eastAsia" w:ascii="宋体" w:hAnsi="宋体" w:cs="宋体"/>
                <w:kern w:val="0"/>
                <w:szCs w:val="21"/>
              </w:rPr>
              <w:t>满足招标文件要求且投标价格最低的有效投标报价为评标基准价，其投标人的报价分为20分。其他投标人的报价分按以下公式计算：报价得分=(评标基准价／投标报价)×分值。</w:t>
            </w:r>
          </w:p>
        </w:tc>
        <w:tc>
          <w:tcPr>
            <w:tcW w:w="1548" w:type="dxa"/>
            <w:vAlign w:val="center"/>
          </w:tcPr>
          <w:p>
            <w:pPr>
              <w:pStyle w:val="13"/>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技术指标和配置</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分</w:t>
            </w:r>
          </w:p>
        </w:tc>
        <w:tc>
          <w:tcPr>
            <w:tcW w:w="4289" w:type="dxa"/>
            <w:vAlign w:val="center"/>
          </w:tcPr>
          <w:p>
            <w:pPr>
              <w:pStyle w:val="5"/>
              <w:rPr>
                <w:rFonts w:ascii="宋体" w:hAnsi="宋体" w:cs="宋体"/>
                <w:kern w:val="0"/>
                <w:szCs w:val="21"/>
              </w:rPr>
            </w:pPr>
            <w:r>
              <w:rPr>
                <w:rFonts w:hint="eastAsia" w:ascii="宋体" w:hAnsi="宋体" w:eastAsia="宋体" w:cs="宋体"/>
                <w:kern w:val="0"/>
                <w:szCs w:val="21"/>
              </w:rPr>
              <w:t>投标人完全符合或优于招标文件技术、商务及其他要求，没有负偏离的得</w:t>
            </w:r>
            <w:r>
              <w:rPr>
                <w:rFonts w:hint="eastAsia" w:ascii="宋体" w:hAnsi="宋体" w:cs="宋体"/>
                <w:kern w:val="0"/>
                <w:szCs w:val="21"/>
                <w:lang w:val="en-US" w:eastAsia="zh-CN"/>
              </w:rPr>
              <w:t>25</w:t>
            </w:r>
            <w:r>
              <w:rPr>
                <w:rFonts w:hint="eastAsia" w:ascii="宋体" w:hAnsi="宋体" w:eastAsia="宋体" w:cs="宋体"/>
                <w:kern w:val="0"/>
                <w:szCs w:val="21"/>
              </w:rPr>
              <w:t>分。其中，带“★”条款为实质性要求，负偏离做废标处理；带“▲”符号条款为重要参数条款，每有一项负偏离的扣</w:t>
            </w:r>
            <w:r>
              <w:rPr>
                <w:rFonts w:hint="eastAsia" w:ascii="宋体" w:hAnsi="宋体" w:cs="宋体"/>
                <w:kern w:val="0"/>
                <w:szCs w:val="21"/>
                <w:lang w:val="en-US" w:eastAsia="zh-CN"/>
              </w:rPr>
              <w:t>2</w:t>
            </w:r>
            <w:r>
              <w:rPr>
                <w:rFonts w:hint="eastAsia" w:ascii="宋体" w:hAnsi="宋体" w:eastAsia="宋体" w:cs="宋体"/>
                <w:kern w:val="0"/>
                <w:szCs w:val="21"/>
              </w:rPr>
              <w:t>分；未标识符号条款为一般参数条款，每有一项负偏离的扣</w:t>
            </w:r>
            <w:r>
              <w:rPr>
                <w:rFonts w:hint="eastAsia" w:ascii="宋体" w:hAnsi="宋体" w:cs="宋体"/>
                <w:kern w:val="0"/>
                <w:szCs w:val="21"/>
                <w:lang w:val="en-US" w:eastAsia="zh-CN"/>
              </w:rPr>
              <w:t>1</w:t>
            </w:r>
            <w:r>
              <w:rPr>
                <w:rFonts w:hint="eastAsia" w:ascii="宋体" w:hAnsi="宋体" w:eastAsia="宋体" w:cs="宋体"/>
                <w:kern w:val="0"/>
                <w:szCs w:val="21"/>
              </w:rPr>
              <w:t>分。</w:t>
            </w:r>
          </w:p>
        </w:tc>
        <w:tc>
          <w:tcPr>
            <w:tcW w:w="1548"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共同</w:t>
            </w:r>
            <w:r>
              <w:rPr>
                <w:rFonts w:hint="eastAsia" w:ascii="宋体" w:hAnsi="宋体" w:cs="宋体"/>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16" w:type="dxa"/>
            <w:vAlign w:val="center"/>
          </w:tcPr>
          <w:p>
            <w:pPr>
              <w:widowControl/>
              <w:spacing w:line="276"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210" w:type="dxa"/>
            <w:vAlign w:val="center"/>
          </w:tcPr>
          <w:p>
            <w:pPr>
              <w:widowControl/>
              <w:spacing w:line="276" w:lineRule="auto"/>
              <w:jc w:val="center"/>
              <w:rPr>
                <w:rFonts w:hint="eastAsia" w:ascii="宋体" w:hAnsi="宋体" w:cs="宋体"/>
                <w:kern w:val="0"/>
                <w:szCs w:val="21"/>
              </w:rPr>
            </w:pPr>
            <w:r>
              <w:rPr>
                <w:rFonts w:hint="eastAsia" w:ascii="宋体" w:hAnsi="宋体" w:eastAsia="宋体" w:cs="宋体"/>
                <w:kern w:val="0"/>
                <w:szCs w:val="21"/>
                <w:lang w:eastAsia="zh-CN"/>
              </w:rPr>
              <w:t>方案设置情况</w:t>
            </w:r>
          </w:p>
        </w:tc>
        <w:tc>
          <w:tcPr>
            <w:tcW w:w="765" w:type="dxa"/>
            <w:vAlign w:val="center"/>
          </w:tcPr>
          <w:p>
            <w:pPr>
              <w:widowControl/>
              <w:spacing w:line="276"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15分</w:t>
            </w:r>
          </w:p>
        </w:tc>
        <w:tc>
          <w:tcPr>
            <w:tcW w:w="4289" w:type="dxa"/>
            <w:vAlign w:val="center"/>
          </w:tcPr>
          <w:p>
            <w:pPr>
              <w:pStyle w:val="5"/>
              <w:rPr>
                <w:rFonts w:hint="eastAsia" w:ascii="宋体" w:hAnsi="宋体" w:eastAsia="宋体" w:cs="宋体"/>
                <w:kern w:val="0"/>
                <w:szCs w:val="21"/>
              </w:rPr>
            </w:pPr>
            <w:r>
              <w:rPr>
                <w:rFonts w:hint="eastAsia" w:ascii="宋体" w:hAnsi="宋体" w:eastAsia="宋体" w:cs="宋体"/>
                <w:kern w:val="0"/>
                <w:szCs w:val="21"/>
                <w:highlight w:val="none"/>
              </w:rPr>
              <w:t>供应商设计符合</w:t>
            </w:r>
            <w:r>
              <w:rPr>
                <w:rFonts w:hint="eastAsia" w:ascii="宋体" w:hAnsi="宋体" w:eastAsia="宋体" w:cs="宋体"/>
                <w:kern w:val="0"/>
                <w:szCs w:val="21"/>
                <w:highlight w:val="none"/>
                <w:lang w:eastAsia="zh-CN"/>
              </w:rPr>
              <w:t>医院</w:t>
            </w:r>
            <w:r>
              <w:rPr>
                <w:rFonts w:hint="eastAsia" w:ascii="宋体" w:hAnsi="宋体" w:eastAsia="宋体" w:cs="宋体"/>
                <w:kern w:val="0"/>
                <w:szCs w:val="21"/>
                <w:highlight w:val="none"/>
              </w:rPr>
              <w:t>要求</w:t>
            </w:r>
            <w:r>
              <w:rPr>
                <w:rFonts w:hint="eastAsia" w:ascii="宋体" w:hAnsi="宋体" w:cs="宋体"/>
                <w:kern w:val="0"/>
                <w:szCs w:val="21"/>
                <w:highlight w:val="none"/>
                <w:lang w:val="en-US" w:eastAsia="zh-CN"/>
              </w:rPr>
              <w:t>的</w:t>
            </w:r>
            <w:r>
              <w:rPr>
                <w:rFonts w:hint="eastAsia" w:asciiTheme="minorEastAsia" w:hAnsiTheme="minorEastAsia" w:eastAsiaTheme="minorEastAsia" w:cstheme="minorEastAsia"/>
                <w:color w:val="000000"/>
                <w:kern w:val="0"/>
                <w:szCs w:val="21"/>
              </w:rPr>
              <w:t>四川省妇幼保健院天府院区智慧财务系统</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lang w:val="en-US" w:eastAsia="zh-CN"/>
              </w:rPr>
              <w:t>该</w:t>
            </w:r>
            <w:r>
              <w:rPr>
                <w:rFonts w:hint="eastAsia" w:asciiTheme="minorEastAsia" w:hAnsiTheme="minorEastAsia" w:eastAsiaTheme="minorEastAsia" w:cstheme="minorEastAsia"/>
                <w:color w:val="000000"/>
                <w:kern w:val="0"/>
                <w:szCs w:val="21"/>
              </w:rPr>
              <w:t>系统</w:t>
            </w:r>
            <w:r>
              <w:rPr>
                <w:rFonts w:hint="eastAsia" w:ascii="宋体" w:hAnsi="宋体" w:cs="宋体"/>
                <w:kern w:val="0"/>
                <w:szCs w:val="21"/>
              </w:rPr>
              <w:t>设置方案是否科学、合理、有针对性，能否满足项目需要：</w:t>
            </w:r>
            <w:r>
              <w:rPr>
                <w:rFonts w:hint="eastAsia" w:ascii="宋体" w:hAnsi="宋体" w:eastAsia="宋体" w:cs="宋体"/>
                <w:kern w:val="0"/>
                <w:szCs w:val="21"/>
                <w:highlight w:val="none"/>
              </w:rPr>
              <w:t>优秀</w:t>
            </w:r>
            <w:r>
              <w:rPr>
                <w:rFonts w:hint="eastAsia" w:ascii="宋体" w:hAnsi="宋体" w:cs="宋体"/>
                <w:kern w:val="0"/>
                <w:szCs w:val="21"/>
                <w:highlight w:val="none"/>
                <w:lang w:val="en-US" w:eastAsia="zh-CN"/>
              </w:rPr>
              <w:t>11</w:t>
            </w:r>
            <w:r>
              <w:rPr>
                <w:rFonts w:hint="eastAsia" w:ascii="宋体" w:hAnsi="宋体" w:eastAsia="宋体" w:cs="宋体"/>
                <w:kern w:val="0"/>
                <w:szCs w:val="21"/>
                <w:highlight w:val="none"/>
              </w:rPr>
              <w:t>-1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分，合格</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rPr>
              <w:t>分，不合格0-</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优秀：</w:t>
            </w:r>
            <w:r>
              <w:rPr>
                <w:rFonts w:hint="eastAsia" w:asciiTheme="minorEastAsia" w:hAnsiTheme="minorEastAsia" w:eastAsiaTheme="minorEastAsia" w:cstheme="minorEastAsia"/>
                <w:color w:val="000000"/>
                <w:kern w:val="0"/>
                <w:szCs w:val="21"/>
              </w:rPr>
              <w:t>天府院区智慧财务系统</w:t>
            </w:r>
            <w:r>
              <w:rPr>
                <w:rFonts w:hint="eastAsia" w:ascii="宋体" w:hAnsi="宋体" w:eastAsia="宋体" w:cs="宋体"/>
                <w:color w:val="000000"/>
                <w:kern w:val="0"/>
                <w:szCs w:val="21"/>
                <w:lang w:eastAsia="zh-CN"/>
              </w:rPr>
              <w:t>功能</w:t>
            </w:r>
            <w:r>
              <w:rPr>
                <w:rFonts w:hint="eastAsia" w:ascii="宋体" w:hAnsi="宋体" w:eastAsia="宋体" w:cs="宋体"/>
                <w:kern w:val="0"/>
                <w:szCs w:val="21"/>
                <w:highlight w:val="none"/>
                <w:lang w:val="en-US" w:eastAsia="zh-CN"/>
              </w:rPr>
              <w:t>明确且强大、项目实施方案科学合理可行、满足医院实际需求。合格：系统功能较为明确，项目实施方案较为明确，但仅能满足基本需求。不合格：系统功能及方案不明确，无法满足医院实际需求。</w:t>
            </w:r>
          </w:p>
        </w:tc>
        <w:tc>
          <w:tcPr>
            <w:tcW w:w="1548" w:type="dxa"/>
            <w:vAlign w:val="center"/>
          </w:tcPr>
          <w:p>
            <w:pPr>
              <w:widowControl/>
              <w:spacing w:line="276" w:lineRule="auto"/>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716" w:type="dxa"/>
            <w:vAlign w:val="center"/>
          </w:tcPr>
          <w:p>
            <w:pPr>
              <w:widowControl/>
              <w:spacing w:line="276"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投标人综合实力</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10分</w:t>
            </w:r>
          </w:p>
        </w:tc>
        <w:tc>
          <w:tcPr>
            <w:tcW w:w="4289" w:type="dxa"/>
            <w:vAlign w:val="center"/>
          </w:tcPr>
          <w:p>
            <w:pPr>
              <w:widowControl/>
              <w:numPr>
                <w:ilvl w:val="255"/>
                <w:numId w:val="0"/>
              </w:numPr>
              <w:spacing w:line="276" w:lineRule="auto"/>
              <w:jc w:val="left"/>
              <w:rPr>
                <w:rFonts w:ascii="宋体" w:hAnsi="宋体" w:cs="宋体"/>
                <w:szCs w:val="21"/>
              </w:rPr>
            </w:pPr>
            <w:r>
              <w:rPr>
                <w:rFonts w:hint="eastAsia" w:ascii="宋体" w:hAnsi="宋体" w:cs="宋体"/>
                <w:kern w:val="0"/>
                <w:szCs w:val="21"/>
              </w:rPr>
              <w:t>（1）</w:t>
            </w:r>
            <w:r>
              <w:rPr>
                <w:rFonts w:hint="eastAsia" w:ascii="宋体" w:hAnsi="宋体" w:cs="宋体"/>
                <w:szCs w:val="21"/>
              </w:rPr>
              <w:t>投标人具有信息系统方面的计算机软件著作权登记证书或专利得2分；</w:t>
            </w:r>
          </w:p>
          <w:p>
            <w:pPr>
              <w:widowControl/>
              <w:numPr>
                <w:ilvl w:val="255"/>
                <w:numId w:val="0"/>
              </w:numPr>
              <w:spacing w:line="276" w:lineRule="auto"/>
              <w:jc w:val="left"/>
              <w:rPr>
                <w:rFonts w:ascii="宋体" w:hAnsi="宋体" w:cs="宋体"/>
                <w:szCs w:val="21"/>
              </w:rPr>
            </w:pPr>
            <w:r>
              <w:rPr>
                <w:rFonts w:hint="eastAsia" w:ascii="宋体" w:hAnsi="宋体" w:cs="宋体"/>
                <w:kern w:val="0"/>
                <w:szCs w:val="21"/>
              </w:rPr>
              <w:t>（2）</w:t>
            </w:r>
            <w:r>
              <w:rPr>
                <w:rFonts w:hint="eastAsia" w:ascii="宋体" w:hAnsi="宋体" w:cs="宋体"/>
                <w:szCs w:val="21"/>
              </w:rPr>
              <w:t>具有IT服务管理体系认证证书得2分；</w:t>
            </w:r>
          </w:p>
          <w:p>
            <w:pPr>
              <w:widowControl/>
              <w:numPr>
                <w:ilvl w:val="255"/>
                <w:numId w:val="0"/>
              </w:numPr>
              <w:spacing w:line="276" w:lineRule="auto"/>
              <w:jc w:val="left"/>
              <w:rPr>
                <w:rFonts w:ascii="宋体" w:hAnsi="宋体" w:cs="宋体"/>
                <w:szCs w:val="21"/>
              </w:rPr>
            </w:pPr>
            <w:r>
              <w:rPr>
                <w:rFonts w:hint="eastAsia" w:ascii="宋体" w:hAnsi="宋体" w:cs="宋体"/>
                <w:kern w:val="0"/>
                <w:szCs w:val="21"/>
              </w:rPr>
              <w:t>（3）</w:t>
            </w:r>
            <w:r>
              <w:rPr>
                <w:rFonts w:hint="eastAsia" w:ascii="宋体" w:hAnsi="宋体" w:cs="宋体"/>
                <w:szCs w:val="21"/>
              </w:rPr>
              <w:t>具有质量管理体系认证证书得2分；</w:t>
            </w:r>
          </w:p>
          <w:p>
            <w:pPr>
              <w:widowControl/>
              <w:numPr>
                <w:ilvl w:val="255"/>
                <w:numId w:val="0"/>
              </w:numPr>
              <w:spacing w:line="276" w:lineRule="auto"/>
              <w:jc w:val="left"/>
              <w:rPr>
                <w:rFonts w:ascii="宋体" w:hAnsi="宋体" w:cs="宋体"/>
                <w:szCs w:val="21"/>
              </w:rPr>
            </w:pPr>
            <w:r>
              <w:rPr>
                <w:rFonts w:hint="eastAsia" w:ascii="宋体" w:hAnsi="宋体" w:cs="宋体"/>
                <w:kern w:val="0"/>
                <w:szCs w:val="21"/>
              </w:rPr>
              <w:t>（4）</w:t>
            </w:r>
            <w:r>
              <w:rPr>
                <w:rFonts w:hint="eastAsia" w:ascii="宋体" w:hAnsi="宋体" w:cs="宋体"/>
                <w:szCs w:val="21"/>
              </w:rPr>
              <w:t>具有信息安全管理体系认证证书得2分；</w:t>
            </w:r>
          </w:p>
          <w:p>
            <w:pPr>
              <w:widowControl/>
              <w:numPr>
                <w:ilvl w:val="255"/>
                <w:numId w:val="0"/>
              </w:numPr>
              <w:spacing w:line="276" w:lineRule="auto"/>
              <w:jc w:val="left"/>
              <w:rPr>
                <w:rFonts w:ascii="宋体" w:hAnsi="宋体" w:cs="宋体"/>
                <w:szCs w:val="21"/>
              </w:rPr>
            </w:pPr>
            <w:r>
              <w:rPr>
                <w:rFonts w:hint="eastAsia" w:ascii="宋体" w:hAnsi="宋体" w:cs="宋体"/>
                <w:kern w:val="0"/>
                <w:szCs w:val="21"/>
              </w:rPr>
              <w:t>（5）</w:t>
            </w:r>
            <w:r>
              <w:rPr>
                <w:rFonts w:hint="eastAsia" w:ascii="宋体" w:hAnsi="宋体" w:cs="宋体"/>
                <w:szCs w:val="21"/>
              </w:rPr>
              <w:t>具有CMMI3证书及以上得2分。</w:t>
            </w:r>
          </w:p>
          <w:p>
            <w:pPr>
              <w:pStyle w:val="2"/>
              <w:numPr>
                <w:ilvl w:val="255"/>
                <w:numId w:val="0"/>
              </w:numPr>
              <w:rPr>
                <w:rFonts w:ascii="宋体" w:hAnsi="宋体" w:cs="宋体"/>
                <w:szCs w:val="21"/>
              </w:rPr>
            </w:pPr>
            <w:r>
              <w:rPr>
                <w:rFonts w:hint="eastAsia" w:ascii="宋体" w:hAnsi="宋体" w:cs="宋体"/>
                <w:szCs w:val="21"/>
              </w:rPr>
              <w:t>注：均需提供相应证书复印件加盖投标人公章，不提供不得分。</w:t>
            </w:r>
          </w:p>
        </w:tc>
        <w:tc>
          <w:tcPr>
            <w:tcW w:w="1548" w:type="dxa"/>
            <w:vAlign w:val="center"/>
          </w:tcPr>
          <w:p>
            <w:pPr>
              <w:pStyle w:val="13"/>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相关业绩</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15分</w:t>
            </w:r>
          </w:p>
        </w:tc>
        <w:tc>
          <w:tcPr>
            <w:tcW w:w="4289" w:type="dxa"/>
            <w:vAlign w:val="center"/>
          </w:tcPr>
          <w:p>
            <w:pPr>
              <w:pStyle w:val="5"/>
              <w:numPr>
                <w:ilvl w:val="255"/>
                <w:numId w:val="0"/>
              </w:numPr>
              <w:rPr>
                <w:rFonts w:ascii="宋体" w:hAnsi="宋体" w:cs="宋体"/>
                <w:kern w:val="0"/>
                <w:szCs w:val="21"/>
              </w:rPr>
            </w:pPr>
            <w:r>
              <w:rPr>
                <w:rFonts w:hint="eastAsia" w:ascii="宋体" w:hAnsi="宋体" w:cs="宋体"/>
                <w:szCs w:val="21"/>
              </w:rPr>
              <w:t>投标人自2019年1月1日（含1日）</w:t>
            </w:r>
            <w:r>
              <w:rPr>
                <w:rFonts w:hint="eastAsia" w:ascii="宋体" w:hAnsi="宋体" w:cs="宋体"/>
                <w:kern w:val="0"/>
                <w:szCs w:val="21"/>
              </w:rPr>
              <w:t>以来具有</w:t>
            </w:r>
            <w:r>
              <w:rPr>
                <w:rFonts w:hint="eastAsia" w:ascii="宋体" w:hAnsi="宋体" w:cs="宋体"/>
                <w:kern w:val="0"/>
                <w:szCs w:val="21"/>
                <w:lang w:val="en-US" w:eastAsia="zh-CN"/>
              </w:rPr>
              <w:t>智慧财务</w:t>
            </w:r>
            <w:r>
              <w:rPr>
                <w:rFonts w:hint="eastAsia" w:ascii="宋体" w:hAnsi="宋体" w:cs="宋体"/>
                <w:kern w:val="0"/>
                <w:szCs w:val="21"/>
              </w:rPr>
              <w:t>系统等数据平台建设类似项目业绩，每有一个得5分，最多得15分。</w:t>
            </w:r>
          </w:p>
          <w:p>
            <w:pPr>
              <w:pStyle w:val="5"/>
              <w:rPr>
                <w:rFonts w:ascii="宋体" w:hAnsi="宋体" w:cs="宋体"/>
                <w:szCs w:val="21"/>
              </w:rPr>
            </w:pPr>
            <w:r>
              <w:rPr>
                <w:rFonts w:hint="eastAsia" w:ascii="宋体" w:hAnsi="宋体" w:cs="宋体"/>
                <w:szCs w:val="21"/>
              </w:rPr>
              <w:t>注：需提供合同复印件或中标通知书复印件或验收报告复印件，加盖投标人公章，不提供不得分。</w:t>
            </w:r>
          </w:p>
        </w:tc>
        <w:tc>
          <w:tcPr>
            <w:tcW w:w="1548" w:type="dxa"/>
            <w:vAlign w:val="center"/>
          </w:tcPr>
          <w:p>
            <w:pPr>
              <w:pStyle w:val="13"/>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售后服务</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15分</w:t>
            </w:r>
          </w:p>
        </w:tc>
        <w:tc>
          <w:tcPr>
            <w:tcW w:w="4289"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1）售后服务方案包括但不限于：①质量保障措施；②技术支持；③应急方案；④服务响应时间；⑤服务人员设置情况等五个方面且五个方面均描述详尽，条理清晰，理解正确的得10分；每缺少一个方面或每有一个方面与本项目无关的扣2分，每有一个方面描述简略或描述不清晰或理解存在偏差的扣1分，扣完为止。</w:t>
            </w:r>
          </w:p>
          <w:p>
            <w:pPr>
              <w:widowControl/>
              <w:spacing w:line="276" w:lineRule="auto"/>
              <w:jc w:val="left"/>
              <w:rPr>
                <w:rFonts w:ascii="宋体" w:hAnsi="宋体" w:cs="宋体"/>
                <w:kern w:val="0"/>
                <w:szCs w:val="21"/>
              </w:rPr>
            </w:pPr>
            <w:r>
              <w:rPr>
                <w:rFonts w:hint="eastAsia" w:ascii="宋体" w:hAnsi="宋体" w:cs="宋体"/>
                <w:kern w:val="0"/>
                <w:szCs w:val="21"/>
              </w:rPr>
              <w:t>（2）提供其它客户的售后服务调查意见表，评价为“满意”或“优秀”等类似评价的，每提供一份得1分，最多得3分。（提供售后服务调查意见表加盖投标人公章）</w:t>
            </w:r>
          </w:p>
          <w:p>
            <w:pPr>
              <w:widowControl/>
              <w:spacing w:line="276" w:lineRule="auto"/>
              <w:jc w:val="left"/>
              <w:rPr>
                <w:rFonts w:ascii="宋体" w:hAnsi="宋体" w:cs="宋体"/>
                <w:kern w:val="0"/>
                <w:szCs w:val="21"/>
              </w:rPr>
            </w:pPr>
            <w:r>
              <w:rPr>
                <w:rFonts w:hint="eastAsia" w:ascii="宋体" w:hAnsi="宋体" w:cs="宋体"/>
                <w:kern w:val="0"/>
                <w:szCs w:val="21"/>
              </w:rPr>
              <w:t>（3）供应商承诺在系统使用中，可根据医院的实际情况，对该系统进行设计改造的得2分。（提供承诺函原件）</w:t>
            </w:r>
          </w:p>
        </w:tc>
        <w:tc>
          <w:tcPr>
            <w:tcW w:w="1548" w:type="dxa"/>
            <w:vAlign w:val="center"/>
          </w:tcPr>
          <w:p>
            <w:pPr>
              <w:widowControl/>
              <w:spacing w:line="276" w:lineRule="auto"/>
              <w:jc w:val="left"/>
              <w:rPr>
                <w:rFonts w:ascii="宋体" w:hAnsi="宋体" w:cs="宋体"/>
                <w:kern w:val="0"/>
                <w:szCs w:val="21"/>
              </w:rPr>
            </w:pPr>
            <w:r>
              <w:rPr>
                <w:rFonts w:hint="eastAsia" w:ascii="宋体" w:hAnsi="宋体" w:cs="宋体"/>
                <w:szCs w:val="21"/>
              </w:rPr>
              <w:t>共同评审因素</w:t>
            </w:r>
          </w:p>
        </w:tc>
      </w:tr>
    </w:tbl>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lang w:eastAsia="zh-CN"/>
        </w:rPr>
      </w:pPr>
    </w:p>
    <w:p>
      <w:pPr>
        <w:pStyle w:val="8"/>
        <w:widowControl/>
        <w:shd w:val="clear" w:color="auto" w:fill="FFFFFF"/>
        <w:wordWrap w:val="0"/>
        <w:spacing w:before="0" w:beforeAutospacing="0" w:after="0" w:afterAutospacing="0" w:line="360" w:lineRule="auto"/>
        <w:rPr>
          <w:rFonts w:hint="eastAsia" w:ascii="黑体" w:hAnsi="黑体" w:eastAsia="黑体" w:cs="黑体"/>
          <w:sz w:val="32"/>
          <w:szCs w:val="32"/>
        </w:rPr>
      </w:pPr>
      <w:r>
        <w:rPr>
          <w:rFonts w:hint="eastAsia" w:ascii="黑体" w:hAnsi="黑体" w:eastAsia="黑体" w:cs="黑体"/>
          <w:b/>
          <w:bCs/>
          <w:sz w:val="32"/>
          <w:szCs w:val="32"/>
          <w:shd w:val="clear" w:color="auto" w:fill="FFFFFF"/>
        </w:rPr>
        <w:t>附件2主要表格格式</w:t>
      </w:r>
    </w:p>
    <w:p>
      <w:pPr>
        <w:pStyle w:val="4"/>
        <w:spacing w:line="400" w:lineRule="atLeast"/>
        <w:jc w:val="center"/>
        <w:rPr>
          <w:rFonts w:cs="宋体"/>
          <w:shd w:val="clear" w:color="auto" w:fill="FFFFFF"/>
        </w:rPr>
      </w:pPr>
      <w:r>
        <w:rPr>
          <w:rFonts w:cs="宋体"/>
          <w:shd w:val="clear" w:color="auto" w:fill="FFFFFF"/>
        </w:rPr>
        <w:t> </w:t>
      </w: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法定代表人授权书</w:t>
      </w:r>
    </w:p>
    <w:p>
      <w:pPr>
        <w:pStyle w:val="2"/>
        <w:rPr>
          <w:rFonts w:hint="eastAsia" w:ascii="宋体" w:hAnsi="宋体" w:eastAsia="宋体" w:cs="宋体"/>
          <w:sz w:val="24"/>
          <w:szCs w:val="24"/>
        </w:rPr>
      </w:pPr>
    </w:p>
    <w:p>
      <w:pPr>
        <w:pStyle w:val="6"/>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四川省妇幼保健院：</w:t>
      </w:r>
    </w:p>
    <w:p>
      <w:pPr>
        <w:pStyle w:val="6"/>
        <w:snapToGrid w:val="0"/>
        <w:spacing w:line="360" w:lineRule="auto"/>
        <w:jc w:val="left"/>
        <w:rPr>
          <w:rFonts w:hint="eastAsia" w:ascii="宋体" w:hAnsi="宋体" w:eastAsia="宋体" w:cs="宋体"/>
          <w:sz w:val="24"/>
          <w:szCs w:val="24"/>
        </w:rPr>
      </w:pPr>
    </w:p>
    <w:p>
      <w:pPr>
        <w:pStyle w:val="6"/>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6"/>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ind w:firstLine="470" w:firstLineChars="196"/>
        <w:outlineLvl w:val="1"/>
        <w:rPr>
          <w:rFonts w:hint="eastAsia" w:ascii="宋体" w:hAnsi="宋体" w:eastAsia="宋体" w:cs="宋体"/>
          <w:sz w:val="24"/>
          <w:szCs w:val="24"/>
        </w:rPr>
      </w:pPr>
      <w:r>
        <w:rPr>
          <w:rFonts w:hint="eastAsia" w:ascii="宋体" w:hAnsi="宋体" w:eastAsia="宋体" w:cs="宋体"/>
          <w:sz w:val="24"/>
          <w:szCs w:val="24"/>
        </w:rPr>
        <w:t>法定代表人签字或盖法定代表人名章：</w:t>
      </w:r>
    </w:p>
    <w:p>
      <w:pPr>
        <w:spacing w:line="360" w:lineRule="auto"/>
        <w:ind w:firstLine="480" w:firstLineChars="200"/>
        <w:outlineLvl w:val="5"/>
        <w:rPr>
          <w:rFonts w:hint="eastAsia" w:ascii="宋体" w:hAnsi="宋体" w:eastAsia="宋体" w:cs="宋体"/>
          <w:sz w:val="24"/>
          <w:szCs w:val="24"/>
        </w:rPr>
      </w:pPr>
      <w:r>
        <w:rPr>
          <w:rFonts w:hint="eastAsia" w:ascii="宋体" w:hAnsi="宋体" w:eastAsia="宋体" w:cs="宋体"/>
          <w:sz w:val="24"/>
          <w:szCs w:val="24"/>
        </w:rPr>
        <w:t>授权代表人（签字）：</w:t>
      </w:r>
    </w:p>
    <w:p>
      <w:pPr>
        <w:spacing w:line="360" w:lineRule="auto"/>
        <w:ind w:firstLine="480" w:firstLineChars="200"/>
        <w:outlineLvl w:val="5"/>
        <w:rPr>
          <w:rFonts w:hint="eastAsia" w:ascii="宋体" w:hAnsi="宋体" w:eastAsia="宋体" w:cs="宋体"/>
          <w:sz w:val="24"/>
          <w:szCs w:val="24"/>
        </w:rPr>
      </w:pPr>
      <w:r>
        <w:rPr>
          <w:rFonts w:hint="eastAsia" w:ascii="宋体" w:hAnsi="宋体" w:eastAsia="宋体" w:cs="宋体"/>
          <w:sz w:val="24"/>
          <w:szCs w:val="24"/>
        </w:rPr>
        <w:t>供应商名称：         （盖单位公章）</w:t>
      </w:r>
    </w:p>
    <w:p>
      <w:pPr>
        <w:spacing w:line="360" w:lineRule="auto"/>
        <w:ind w:firstLine="480" w:firstLineChars="200"/>
        <w:outlineLvl w:val="5"/>
        <w:rPr>
          <w:rFonts w:hint="eastAsia" w:ascii="宋体" w:hAnsi="宋体" w:eastAsia="宋体" w:cs="宋体"/>
          <w:b/>
          <w:sz w:val="24"/>
          <w:szCs w:val="24"/>
        </w:rPr>
      </w:pPr>
      <w:r>
        <w:rPr>
          <w:rFonts w:hint="eastAsia" w:ascii="宋体" w:hAnsi="宋体" w:eastAsia="宋体" w:cs="宋体"/>
          <w:sz w:val="24"/>
          <w:szCs w:val="24"/>
        </w:rPr>
        <w:t>日    期：</w:t>
      </w:r>
    </w:p>
    <w:p>
      <w:pPr>
        <w:spacing w:line="360" w:lineRule="auto"/>
        <w:outlineLvl w:val="5"/>
        <w:rPr>
          <w:rFonts w:hint="eastAsia" w:ascii="宋体" w:hAnsi="宋体" w:eastAsia="宋体" w:cs="宋体"/>
          <w:bCs/>
          <w:sz w:val="24"/>
          <w:szCs w:val="24"/>
        </w:rPr>
      </w:pPr>
      <w:r>
        <w:rPr>
          <w:rFonts w:hint="eastAsia" w:ascii="宋体" w:hAnsi="宋体" w:eastAsia="宋体" w:cs="宋体"/>
          <w:bCs/>
          <w:sz w:val="24"/>
          <w:szCs w:val="24"/>
        </w:rPr>
        <w:t>注：（1）法定代表人不参与磋商而委托代理人磋商适用。</w:t>
      </w:r>
    </w:p>
    <w:p>
      <w:pPr>
        <w:spacing w:line="360" w:lineRule="auto"/>
        <w:ind w:firstLine="360" w:firstLineChars="150"/>
        <w:outlineLvl w:val="5"/>
        <w:rPr>
          <w:rFonts w:hint="eastAsia" w:ascii="宋体" w:hAnsi="宋体" w:eastAsia="宋体" w:cs="宋体"/>
          <w:bCs/>
          <w:sz w:val="24"/>
          <w:szCs w:val="24"/>
        </w:rPr>
      </w:pPr>
      <w:r>
        <w:rPr>
          <w:rFonts w:hint="eastAsia" w:ascii="宋体" w:hAnsi="宋体" w:eastAsia="宋体" w:cs="宋体"/>
          <w:bCs/>
          <w:sz w:val="24"/>
          <w:szCs w:val="24"/>
        </w:rPr>
        <w:t xml:space="preserve"> （2）附法定代表人、授权代表身份证复印件（</w:t>
      </w:r>
      <w:r>
        <w:rPr>
          <w:rFonts w:hint="eastAsia" w:ascii="宋体" w:hAnsi="宋体" w:eastAsia="宋体" w:cs="宋体"/>
          <w:sz w:val="24"/>
          <w:szCs w:val="24"/>
        </w:rPr>
        <w:t>提供其在有效期的材料，居民身份证正、反面复印件</w:t>
      </w:r>
      <w:r>
        <w:rPr>
          <w:rFonts w:hint="eastAsia" w:ascii="宋体" w:hAnsi="宋体" w:eastAsia="宋体" w:cs="宋体"/>
          <w:bCs/>
          <w:sz w:val="24"/>
          <w:szCs w:val="24"/>
        </w:rPr>
        <w:t>）加盖供应商公章。</w:t>
      </w: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adjustRightInd w:val="0"/>
        <w:spacing w:line="360" w:lineRule="auto"/>
        <w:jc w:val="center"/>
        <w:rPr>
          <w:rFonts w:hint="eastAsia" w:ascii="宋体" w:hAnsi="宋体" w:eastAsia="宋体" w:cs="宋体"/>
          <w:sz w:val="24"/>
          <w:szCs w:val="24"/>
          <w:u w:val="single"/>
        </w:rPr>
      </w:pPr>
    </w:p>
    <w:p>
      <w:pPr>
        <w:pStyle w:val="2"/>
        <w:rPr>
          <w:rFonts w:hint="eastAsia"/>
        </w:rPr>
      </w:pP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××××项目</w:t>
      </w:r>
    </w:p>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报价一览表</w:t>
      </w:r>
    </w:p>
    <w:p>
      <w:pPr>
        <w:jc w:val="center"/>
        <w:rPr>
          <w:rFonts w:hint="eastAsia" w:ascii="宋体" w:hAnsi="宋体" w:eastAsia="宋体" w:cs="宋体"/>
          <w:b/>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单价（万元）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金额（万元）</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bl>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注：1.报价应是最终用户验收合格后的总价，税费、采购文件规定的其它费用。</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2.“报价一览表”为多页的，每页均需由法定代表人或授权代表签字并盖投标人印章。</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3.“报价一览表”需单独密封。</w:t>
      </w:r>
    </w:p>
    <w:p>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供应商名称（盖章）：        </w:t>
      </w:r>
    </w:p>
    <w:p>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eastAsia="宋体" w:cs="宋体"/>
          <w:bCs/>
          <w:sz w:val="24"/>
          <w:szCs w:val="24"/>
        </w:rPr>
        <w:t>联系方式：</w:t>
      </w:r>
      <w:r>
        <w:rPr>
          <w:rFonts w:hint="eastAsia" w:ascii="宋体" w:hAnsi="宋体" w:eastAsia="宋体" w:cs="宋体"/>
          <w:bCs/>
          <w:sz w:val="24"/>
          <w:szCs w:val="24"/>
          <w:u w:val="single"/>
        </w:rPr>
        <w:t xml:space="preserve">        </w:t>
      </w:r>
    </w:p>
    <w:p>
      <w:pPr>
        <w:spacing w:line="400" w:lineRule="exact"/>
        <w:ind w:firstLine="480"/>
        <w:rPr>
          <w:rFonts w:hint="eastAsia" w:ascii="宋体" w:hAnsi="宋体" w:eastAsia="宋体" w:cs="宋体"/>
          <w:b/>
          <w:bCs/>
          <w:sz w:val="24"/>
          <w:szCs w:val="24"/>
        </w:rPr>
      </w:pPr>
      <w:r>
        <w:rPr>
          <w:rFonts w:hint="eastAsia" w:ascii="宋体" w:hAnsi="宋体" w:eastAsia="宋体" w:cs="宋体"/>
          <w:sz w:val="24"/>
          <w:szCs w:val="24"/>
        </w:rPr>
        <w:t>日期：</w:t>
      </w: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rPr>
          <w:rFonts w:hint="eastAsia"/>
        </w:rPr>
      </w:pPr>
    </w:p>
    <w:p>
      <w:pPr>
        <w:jc w:val="center"/>
        <w:rPr>
          <w:rFonts w:hint="eastAsia" w:ascii="宋体" w:hAnsi="宋体" w:eastAsia="宋体" w:cs="宋体"/>
          <w:b/>
          <w:bCs/>
          <w:color w:val="auto"/>
          <w:sz w:val="24"/>
          <w:szCs w:val="24"/>
          <w:highlight w:val="none"/>
          <w:u w:val="single"/>
          <w:lang w:val="en-US" w:eastAsia="zh-CN"/>
        </w:rPr>
      </w:pPr>
    </w:p>
    <w:p>
      <w:pPr>
        <w:jc w:val="center"/>
        <w:rPr>
          <w:rFonts w:hint="eastAsia" w:ascii="宋体" w:hAnsi="宋体" w:eastAsia="宋体" w:cs="宋体"/>
          <w:b/>
          <w:bCs/>
          <w:color w:val="auto"/>
          <w:sz w:val="24"/>
          <w:szCs w:val="24"/>
          <w:highlight w:val="none"/>
          <w:u w:val="single"/>
          <w:lang w:val="en-US" w:eastAsia="zh-CN"/>
        </w:rPr>
      </w:pP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技术指标要求应答表</w:t>
      </w:r>
    </w:p>
    <w:p>
      <w:pPr>
        <w:widowControl/>
        <w:shd w:val="clear" w:color="auto" w:fill="FFFFFF"/>
        <w:spacing w:before="100" w:beforeAutospacing="1" w:after="120"/>
        <w:jc w:val="left"/>
        <w:rPr>
          <w:rFonts w:hint="eastAsia" w:ascii="宋体" w:hAnsi="宋体" w:eastAsia="宋体" w:cs="宋体"/>
          <w:b/>
          <w:sz w:val="24"/>
          <w:szCs w:val="24"/>
        </w:rPr>
      </w:pPr>
      <w:r>
        <w:rPr>
          <w:rFonts w:hint="eastAsia" w:ascii="宋体" w:hAnsi="宋体" w:eastAsia="宋体" w:cs="宋体"/>
          <w:b/>
          <w:bCs/>
          <w:kern w:val="0"/>
          <w:sz w:val="24"/>
          <w:szCs w:val="24"/>
        </w:rPr>
        <w:t xml:space="preserve">           </w:t>
      </w:r>
    </w:p>
    <w:tbl>
      <w:tblPr>
        <w:tblStyle w:val="9"/>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42"/>
        <w:gridCol w:w="1922"/>
        <w:gridCol w:w="2694"/>
        <w:gridCol w:w="1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noWrap w:val="0"/>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542" w:type="dxa"/>
            <w:noWrap w:val="0"/>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922" w:type="dxa"/>
            <w:noWrap w:val="0"/>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文件要求</w:t>
            </w:r>
          </w:p>
        </w:tc>
        <w:tc>
          <w:tcPr>
            <w:tcW w:w="2694" w:type="dxa"/>
            <w:noWrap w:val="0"/>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参选产品技术参数</w:t>
            </w:r>
          </w:p>
        </w:tc>
        <w:tc>
          <w:tcPr>
            <w:tcW w:w="1763" w:type="dxa"/>
            <w:noWrap w:val="0"/>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偏离说明</w:t>
            </w:r>
          </w:p>
        </w:tc>
        <w:tc>
          <w:tcPr>
            <w:tcW w:w="1763" w:type="dxa"/>
            <w:noWrap w:val="0"/>
            <w:vAlign w:val="top"/>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证明材料</w:t>
            </w:r>
          </w:p>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rFonts w:hint="eastAsia" w:ascii="宋体" w:hAnsi="宋体" w:eastAsia="宋体" w:cs="宋体"/>
                <w:sz w:val="24"/>
                <w:szCs w:val="24"/>
              </w:rPr>
            </w:pPr>
          </w:p>
        </w:tc>
        <w:tc>
          <w:tcPr>
            <w:tcW w:w="1542" w:type="dxa"/>
            <w:noWrap w:val="0"/>
            <w:vAlign w:val="top"/>
          </w:tcPr>
          <w:p>
            <w:pPr>
              <w:spacing w:line="400" w:lineRule="exact"/>
              <w:jc w:val="center"/>
              <w:rPr>
                <w:rFonts w:hint="eastAsia" w:ascii="宋体" w:hAnsi="宋体" w:eastAsia="宋体" w:cs="宋体"/>
                <w:sz w:val="24"/>
                <w:szCs w:val="24"/>
              </w:rPr>
            </w:pPr>
          </w:p>
        </w:tc>
        <w:tc>
          <w:tcPr>
            <w:tcW w:w="1922" w:type="dxa"/>
            <w:noWrap w:val="0"/>
            <w:vAlign w:val="top"/>
          </w:tcPr>
          <w:p>
            <w:pPr>
              <w:spacing w:line="400" w:lineRule="exact"/>
              <w:jc w:val="center"/>
              <w:rPr>
                <w:rFonts w:hint="eastAsia" w:ascii="宋体" w:hAnsi="宋体" w:eastAsia="宋体" w:cs="宋体"/>
                <w:sz w:val="24"/>
                <w:szCs w:val="24"/>
              </w:rPr>
            </w:pPr>
          </w:p>
        </w:tc>
        <w:tc>
          <w:tcPr>
            <w:tcW w:w="2694" w:type="dxa"/>
            <w:noWrap w:val="0"/>
            <w:vAlign w:val="top"/>
          </w:tcPr>
          <w:p>
            <w:pPr>
              <w:spacing w:line="400" w:lineRule="exact"/>
              <w:ind w:left="238" w:hanging="316" w:hangingChars="132"/>
              <w:jc w:val="center"/>
              <w:rPr>
                <w:rFonts w:hint="eastAsia" w:ascii="宋体" w:hAnsi="宋体" w:eastAsia="宋体" w:cs="宋体"/>
                <w:sz w:val="24"/>
                <w:szCs w:val="24"/>
              </w:rPr>
            </w:pPr>
          </w:p>
        </w:tc>
        <w:tc>
          <w:tcPr>
            <w:tcW w:w="1763" w:type="dxa"/>
            <w:noWrap w:val="0"/>
            <w:vAlign w:val="top"/>
          </w:tcPr>
          <w:p>
            <w:pPr>
              <w:spacing w:line="400" w:lineRule="exact"/>
              <w:ind w:left="238" w:hanging="316" w:hangingChars="132"/>
              <w:jc w:val="center"/>
              <w:rPr>
                <w:rFonts w:hint="eastAsia" w:ascii="宋体" w:hAnsi="宋体" w:eastAsia="宋体" w:cs="宋体"/>
                <w:sz w:val="24"/>
                <w:szCs w:val="24"/>
              </w:rPr>
            </w:pPr>
          </w:p>
        </w:tc>
        <w:tc>
          <w:tcPr>
            <w:tcW w:w="1763" w:type="dxa"/>
            <w:noWrap w:val="0"/>
            <w:vAlign w:val="top"/>
          </w:tcPr>
          <w:p>
            <w:pPr>
              <w:spacing w:line="400" w:lineRule="exact"/>
              <w:ind w:left="238" w:hanging="316" w:hangingChars="13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rFonts w:hint="eastAsia" w:ascii="宋体" w:hAnsi="宋体" w:eastAsia="宋体" w:cs="宋体"/>
                <w:sz w:val="24"/>
                <w:szCs w:val="24"/>
              </w:rPr>
            </w:pPr>
          </w:p>
        </w:tc>
        <w:tc>
          <w:tcPr>
            <w:tcW w:w="1542" w:type="dxa"/>
            <w:noWrap w:val="0"/>
            <w:vAlign w:val="top"/>
          </w:tcPr>
          <w:p>
            <w:pPr>
              <w:spacing w:line="400" w:lineRule="exact"/>
              <w:jc w:val="center"/>
              <w:rPr>
                <w:rFonts w:hint="eastAsia" w:ascii="宋体" w:hAnsi="宋体" w:eastAsia="宋体" w:cs="宋体"/>
                <w:sz w:val="24"/>
                <w:szCs w:val="24"/>
              </w:rPr>
            </w:pPr>
          </w:p>
        </w:tc>
        <w:tc>
          <w:tcPr>
            <w:tcW w:w="1922" w:type="dxa"/>
            <w:noWrap w:val="0"/>
            <w:vAlign w:val="top"/>
          </w:tcPr>
          <w:p>
            <w:pPr>
              <w:spacing w:line="400" w:lineRule="exact"/>
              <w:jc w:val="center"/>
              <w:rPr>
                <w:rFonts w:hint="eastAsia" w:ascii="宋体" w:hAnsi="宋体" w:eastAsia="宋体" w:cs="宋体"/>
                <w:sz w:val="24"/>
                <w:szCs w:val="24"/>
              </w:rPr>
            </w:pPr>
          </w:p>
        </w:tc>
        <w:tc>
          <w:tcPr>
            <w:tcW w:w="2694"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rFonts w:hint="eastAsia" w:ascii="宋体" w:hAnsi="宋体" w:eastAsia="宋体" w:cs="宋体"/>
                <w:sz w:val="24"/>
                <w:szCs w:val="24"/>
              </w:rPr>
            </w:pPr>
          </w:p>
        </w:tc>
        <w:tc>
          <w:tcPr>
            <w:tcW w:w="1542" w:type="dxa"/>
            <w:noWrap w:val="0"/>
            <w:vAlign w:val="top"/>
          </w:tcPr>
          <w:p>
            <w:pPr>
              <w:spacing w:line="400" w:lineRule="exact"/>
              <w:jc w:val="center"/>
              <w:rPr>
                <w:rFonts w:hint="eastAsia" w:ascii="宋体" w:hAnsi="宋体" w:eastAsia="宋体" w:cs="宋体"/>
                <w:sz w:val="24"/>
                <w:szCs w:val="24"/>
              </w:rPr>
            </w:pPr>
          </w:p>
        </w:tc>
        <w:tc>
          <w:tcPr>
            <w:tcW w:w="1922" w:type="dxa"/>
            <w:noWrap w:val="0"/>
            <w:vAlign w:val="top"/>
          </w:tcPr>
          <w:p>
            <w:pPr>
              <w:spacing w:line="400" w:lineRule="exact"/>
              <w:jc w:val="center"/>
              <w:rPr>
                <w:rFonts w:hint="eastAsia" w:ascii="宋体" w:hAnsi="宋体" w:eastAsia="宋体" w:cs="宋体"/>
                <w:sz w:val="24"/>
                <w:szCs w:val="24"/>
              </w:rPr>
            </w:pPr>
          </w:p>
        </w:tc>
        <w:tc>
          <w:tcPr>
            <w:tcW w:w="2694"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noWrap w:val="0"/>
            <w:vAlign w:val="top"/>
          </w:tcPr>
          <w:p>
            <w:pPr>
              <w:spacing w:line="400" w:lineRule="exact"/>
              <w:jc w:val="center"/>
              <w:rPr>
                <w:rFonts w:hint="eastAsia" w:ascii="宋体" w:hAnsi="宋体" w:eastAsia="宋体" w:cs="宋体"/>
                <w:sz w:val="24"/>
                <w:szCs w:val="24"/>
              </w:rPr>
            </w:pPr>
          </w:p>
        </w:tc>
        <w:tc>
          <w:tcPr>
            <w:tcW w:w="1542" w:type="dxa"/>
            <w:noWrap w:val="0"/>
            <w:vAlign w:val="top"/>
          </w:tcPr>
          <w:p>
            <w:pPr>
              <w:spacing w:line="400" w:lineRule="exact"/>
              <w:jc w:val="center"/>
              <w:rPr>
                <w:rFonts w:hint="eastAsia" w:ascii="宋体" w:hAnsi="宋体" w:eastAsia="宋体" w:cs="宋体"/>
                <w:sz w:val="24"/>
                <w:szCs w:val="24"/>
              </w:rPr>
            </w:pPr>
          </w:p>
        </w:tc>
        <w:tc>
          <w:tcPr>
            <w:tcW w:w="1922" w:type="dxa"/>
            <w:noWrap w:val="0"/>
            <w:vAlign w:val="top"/>
          </w:tcPr>
          <w:p>
            <w:pPr>
              <w:spacing w:line="400" w:lineRule="exact"/>
              <w:jc w:val="center"/>
              <w:rPr>
                <w:rFonts w:hint="eastAsia" w:ascii="宋体" w:hAnsi="宋体" w:eastAsia="宋体" w:cs="宋体"/>
                <w:sz w:val="24"/>
                <w:szCs w:val="24"/>
              </w:rPr>
            </w:pPr>
          </w:p>
        </w:tc>
        <w:tc>
          <w:tcPr>
            <w:tcW w:w="2694"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c>
          <w:tcPr>
            <w:tcW w:w="1763" w:type="dxa"/>
            <w:noWrap w:val="0"/>
            <w:vAlign w:val="top"/>
          </w:tcPr>
          <w:p>
            <w:pPr>
              <w:spacing w:line="400" w:lineRule="exact"/>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bookmarkStart w:id="20" w:name="_Toc491724578"/>
      <w:r>
        <w:rPr>
          <w:rFonts w:hint="eastAsia" w:ascii="宋体" w:hAnsi="宋体" w:eastAsia="宋体" w:cs="宋体"/>
          <w:sz w:val="24"/>
          <w:szCs w:val="24"/>
        </w:rPr>
        <w:t>注：</w:t>
      </w:r>
      <w:bookmarkEnd w:id="20"/>
    </w:p>
    <w:p>
      <w:pPr>
        <w:pStyle w:val="2"/>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1、申请人应</w:t>
      </w:r>
      <w:r>
        <w:rPr>
          <w:rFonts w:hint="eastAsia" w:ascii="宋体" w:hAnsi="宋体" w:eastAsia="宋体" w:cs="宋体"/>
          <w:sz w:val="24"/>
          <w:szCs w:val="24"/>
          <w:lang w:val="en-US" w:eastAsia="zh-CN"/>
        </w:rPr>
        <w:t>按</w:t>
      </w:r>
      <w:r>
        <w:rPr>
          <w:rFonts w:hint="eastAsia" w:ascii="宋体" w:hAnsi="宋体" w:eastAsia="宋体" w:cs="宋体"/>
          <w:sz w:val="24"/>
          <w:szCs w:val="24"/>
        </w:rPr>
        <w:t>文件</w:t>
      </w:r>
      <w:r>
        <w:rPr>
          <w:rFonts w:hint="eastAsia" w:ascii="宋体" w:hAnsi="宋体" w:eastAsia="宋体" w:cs="宋体"/>
          <w:sz w:val="24"/>
          <w:szCs w:val="24"/>
          <w:lang w:val="en-US" w:eastAsia="zh-CN"/>
        </w:rPr>
        <w:t>附件</w:t>
      </w:r>
      <w:r>
        <w:rPr>
          <w:rFonts w:hint="eastAsia" w:ascii="宋体" w:hAnsi="宋体" w:eastAsia="宋体" w:cs="宋体"/>
          <w:sz w:val="24"/>
          <w:szCs w:val="24"/>
        </w:rPr>
        <w:t>技术</w:t>
      </w:r>
      <w:r>
        <w:rPr>
          <w:rFonts w:hint="eastAsia" w:ascii="宋体" w:hAnsi="宋体" w:eastAsia="宋体" w:cs="宋体"/>
          <w:sz w:val="24"/>
          <w:szCs w:val="24"/>
          <w:lang w:val="en-US" w:eastAsia="zh-CN"/>
        </w:rPr>
        <w:t>指标</w:t>
      </w:r>
      <w:r>
        <w:rPr>
          <w:rFonts w:hint="eastAsia" w:ascii="宋体" w:hAnsi="宋体" w:eastAsia="宋体" w:cs="宋体"/>
          <w:sz w:val="24"/>
          <w:szCs w:val="24"/>
        </w:rPr>
        <w:t>要求按顺序列入此表，并对照技术要求进行逐条应答，并在本表后提供与技术要求相关的证明材料。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2、申请人必须据实填写，不得虚假应答，否则将取消其比选或中选资格。</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3、偏离情况一列填写“无偏离”或“负偏离”或“正偏离”。</w:t>
      </w:r>
    </w:p>
    <w:p>
      <w:pPr>
        <w:widowControl/>
        <w:jc w:val="center"/>
        <w:rPr>
          <w:rFonts w:hint="eastAsia" w:ascii="宋体" w:hAnsi="宋体" w:eastAsia="宋体" w:cs="宋体"/>
          <w:kern w:val="0"/>
          <w:sz w:val="24"/>
          <w:szCs w:val="24"/>
        </w:rPr>
      </w:pPr>
    </w:p>
    <w:p>
      <w:pPr>
        <w:pStyle w:val="14"/>
        <w:ind w:firstLine="3480" w:firstLineChars="1450"/>
        <w:rPr>
          <w:rFonts w:hint="eastAsia" w:ascii="宋体" w:hAnsi="宋体" w:eastAsia="宋体" w:cs="宋体"/>
          <w:sz w:val="24"/>
          <w:szCs w:val="24"/>
        </w:rPr>
      </w:pPr>
    </w:p>
    <w:p>
      <w:pPr>
        <w:spacing w:before="120" w:beforeLines="50" w:after="120" w:afterLines="50"/>
        <w:rPr>
          <w:rFonts w:hint="eastAsia" w:ascii="宋体" w:hAnsi="宋体" w:eastAsia="宋体" w:cs="宋体"/>
          <w:bCs/>
          <w:sz w:val="24"/>
          <w:szCs w:val="24"/>
        </w:rPr>
      </w:pPr>
      <w:r>
        <w:rPr>
          <w:rFonts w:hint="eastAsia" w:ascii="宋体" w:hAnsi="宋体" w:eastAsia="宋体" w:cs="宋体"/>
          <w:bCs/>
          <w:sz w:val="24"/>
          <w:szCs w:val="24"/>
        </w:rPr>
        <w:t>申请人名称：</w:t>
      </w:r>
      <w:r>
        <w:rPr>
          <w:rFonts w:hint="eastAsia" w:ascii="宋体" w:hAnsi="宋体" w:eastAsia="宋体" w:cs="宋体"/>
          <w:bCs/>
          <w:sz w:val="24"/>
          <w:szCs w:val="24"/>
          <w:u w:val="single"/>
        </w:rPr>
        <w:t>（单位公章）</w:t>
      </w:r>
      <w:r>
        <w:rPr>
          <w:rFonts w:hint="eastAsia" w:ascii="宋体" w:hAnsi="宋体" w:eastAsia="宋体" w:cs="宋体"/>
          <w:bCs/>
          <w:sz w:val="24"/>
          <w:szCs w:val="24"/>
        </w:rPr>
        <w:t>。</w:t>
      </w:r>
    </w:p>
    <w:p>
      <w:pPr>
        <w:spacing w:before="120" w:beforeLines="50" w:after="120" w:afterLines="50"/>
        <w:rPr>
          <w:rFonts w:hint="eastAsia" w:ascii="宋体" w:hAnsi="宋体" w:eastAsia="宋体" w:cs="宋体"/>
          <w:bCs/>
          <w:sz w:val="24"/>
          <w:szCs w:val="24"/>
        </w:rPr>
      </w:pPr>
      <w:r>
        <w:rPr>
          <w:rFonts w:hint="eastAsia" w:ascii="宋体" w:hAnsi="宋体" w:eastAsia="宋体" w:cs="宋体"/>
          <w:bCs/>
          <w:sz w:val="24"/>
          <w:szCs w:val="24"/>
        </w:rPr>
        <w:t>法定代表人/单位负责人或授权代表（签字或加盖个人名章）：。</w:t>
      </w:r>
    </w:p>
    <w:p>
      <w:pPr>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项目业绩表</w:t>
      </w:r>
    </w:p>
    <w:p>
      <w:pPr>
        <w:pStyle w:val="2"/>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004"/>
        <w:gridCol w:w="1110"/>
        <w:gridCol w:w="2521"/>
        <w:gridCol w:w="1233"/>
      </w:tblGrid>
      <w:tr>
        <w:tblPrEx>
          <w:tblCellMar>
            <w:top w:w="0" w:type="dxa"/>
            <w:left w:w="108" w:type="dxa"/>
            <w:bottom w:w="0" w:type="dxa"/>
            <w:right w:w="108" w:type="dxa"/>
          </w:tblCellMar>
        </w:tblPrEx>
        <w:trPr>
          <w:trHeight w:val="420" w:hRule="atLeast"/>
          <w:jc w:val="center"/>
        </w:trPr>
        <w:tc>
          <w:tcPr>
            <w:tcW w:w="140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省外省级以上单位用户</w:t>
            </w:r>
          </w:p>
        </w:tc>
        <w:tc>
          <w:tcPr>
            <w:tcW w:w="30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用户名称</w:t>
            </w:r>
          </w:p>
        </w:tc>
        <w:tc>
          <w:tcPr>
            <w:tcW w:w="11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52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合同签订日期</w:t>
            </w:r>
          </w:p>
        </w:tc>
        <w:tc>
          <w:tcPr>
            <w:tcW w:w="123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省内省级单位用户</w:t>
            </w: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省内其他用户</w:t>
            </w: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jc w:val="center"/>
              <w:rPr>
                <w:rFonts w:hint="eastAsia" w:ascii="宋体" w:hAnsi="宋体" w:eastAsia="宋体" w:cs="宋体"/>
                <w:sz w:val="24"/>
                <w:szCs w:val="24"/>
              </w:rPr>
            </w:pPr>
          </w:p>
        </w:tc>
        <w:tc>
          <w:tcPr>
            <w:tcW w:w="3004" w:type="dxa"/>
            <w:noWrap w:val="0"/>
            <w:vAlign w:val="center"/>
          </w:tcPr>
          <w:p>
            <w:pPr>
              <w:jc w:val="center"/>
              <w:rPr>
                <w:rFonts w:hint="eastAsia" w:ascii="宋体" w:hAnsi="宋体" w:eastAsia="宋体" w:cs="宋体"/>
                <w:sz w:val="24"/>
                <w:szCs w:val="24"/>
              </w:rPr>
            </w:pPr>
          </w:p>
        </w:tc>
        <w:tc>
          <w:tcPr>
            <w:tcW w:w="1110" w:type="dxa"/>
            <w:noWrap w:val="0"/>
            <w:vAlign w:val="center"/>
          </w:tcPr>
          <w:p>
            <w:pPr>
              <w:jc w:val="center"/>
              <w:rPr>
                <w:rFonts w:hint="eastAsia" w:ascii="宋体" w:hAnsi="宋体" w:eastAsia="宋体" w:cs="宋体"/>
                <w:sz w:val="24"/>
                <w:szCs w:val="24"/>
              </w:rPr>
            </w:pPr>
          </w:p>
        </w:tc>
        <w:tc>
          <w:tcPr>
            <w:tcW w:w="2521" w:type="dxa"/>
            <w:noWrap w:val="0"/>
            <w:vAlign w:val="center"/>
          </w:tcPr>
          <w:p>
            <w:pPr>
              <w:jc w:val="center"/>
              <w:rPr>
                <w:rFonts w:hint="eastAsia" w:ascii="宋体" w:hAnsi="宋体" w:eastAsia="宋体" w:cs="宋体"/>
                <w:sz w:val="24"/>
                <w:szCs w:val="24"/>
              </w:rPr>
            </w:pPr>
          </w:p>
        </w:tc>
        <w:tc>
          <w:tcPr>
            <w:tcW w:w="1233" w:type="dxa"/>
            <w:noWrap w:val="0"/>
            <w:vAlign w:val="center"/>
          </w:tcPr>
          <w:p>
            <w:pPr>
              <w:jc w:val="cente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说明：1、表中项目为近</w:t>
      </w:r>
      <w:r>
        <w:rPr>
          <w:rFonts w:hint="eastAsia" w:ascii="宋体" w:hAnsi="宋体" w:eastAsia="宋体" w:cs="宋体"/>
          <w:sz w:val="24"/>
          <w:szCs w:val="24"/>
          <w:lang w:val="en-US" w:eastAsia="zh-CN"/>
        </w:rPr>
        <w:t>二</w:t>
      </w:r>
      <w:r>
        <w:rPr>
          <w:rFonts w:hint="eastAsia" w:ascii="宋体" w:hAnsi="宋体" w:eastAsia="宋体" w:cs="宋体"/>
          <w:sz w:val="24"/>
          <w:szCs w:val="24"/>
        </w:rPr>
        <w:t>年业绩，用户仍在合作；2、只填写与本次项目一致。</w:t>
      </w: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center"/>
        <w:rPr>
          <w:rFonts w:hint="eastAsia" w:ascii="宋体" w:hAnsi="宋体" w:eastAsia="宋体" w:cs="宋体"/>
          <w:sz w:val="24"/>
          <w:szCs w:val="24"/>
        </w:rPr>
      </w:pPr>
    </w:p>
    <w:p>
      <w:pPr>
        <w:pStyle w:val="4"/>
        <w:spacing w:line="380" w:lineRule="exact"/>
        <w:jc w:val="both"/>
        <w:rPr>
          <w:rFonts w:hint="eastAsia" w:ascii="宋体" w:hAnsi="宋体" w:eastAsia="宋体" w:cs="宋体"/>
          <w:sz w:val="24"/>
          <w:szCs w:val="24"/>
        </w:rPr>
      </w:pPr>
    </w:p>
    <w:p>
      <w:pPr>
        <w:pStyle w:val="4"/>
        <w:spacing w:line="380" w:lineRule="exact"/>
        <w:jc w:val="both"/>
        <w:rPr>
          <w:rFonts w:hint="eastAsia" w:ascii="宋体" w:hAnsi="宋体" w:eastAsia="宋体" w:cs="宋体"/>
          <w:sz w:val="24"/>
          <w:szCs w:val="24"/>
        </w:rPr>
      </w:pPr>
    </w:p>
    <w:p>
      <w:pPr>
        <w:pStyle w:val="2"/>
        <w:spacing w:line="360" w:lineRule="auto"/>
        <w:jc w:val="center"/>
        <w:rPr>
          <w:rFonts w:hint="eastAsia" w:ascii="黑体" w:hAnsi="黑体" w:eastAsia="黑体" w:cs="黑体"/>
          <w:b/>
          <w:bCs/>
          <w:sz w:val="24"/>
        </w:rPr>
      </w:pPr>
    </w:p>
    <w:p>
      <w:pPr>
        <w:pStyle w:val="2"/>
        <w:spacing w:line="360" w:lineRule="auto"/>
        <w:jc w:val="center"/>
        <w:rPr>
          <w:rFonts w:hint="eastAsia" w:ascii="黑体" w:hAnsi="黑体" w:eastAsia="黑体" w:cs="黑体"/>
          <w:b/>
          <w:bCs/>
          <w:sz w:val="24"/>
        </w:rPr>
      </w:pPr>
    </w:p>
    <w:p>
      <w:pPr>
        <w:pStyle w:val="2"/>
        <w:spacing w:line="360" w:lineRule="auto"/>
        <w:jc w:val="center"/>
        <w:rPr>
          <w:rFonts w:hint="eastAsia" w:ascii="黑体" w:hAnsi="黑体" w:eastAsia="黑体" w:cs="黑体"/>
          <w:b/>
          <w:bCs/>
          <w:sz w:val="24"/>
        </w:rPr>
      </w:pPr>
    </w:p>
    <w:p>
      <w:pPr>
        <w:pStyle w:val="2"/>
        <w:spacing w:line="360" w:lineRule="auto"/>
        <w:jc w:val="center"/>
        <w:rPr>
          <w:rFonts w:hint="eastAsia" w:ascii="黑体" w:hAnsi="黑体" w:eastAsia="黑体" w:cs="黑体"/>
          <w:b/>
          <w:bCs/>
          <w:sz w:val="24"/>
        </w:rPr>
      </w:pP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无围标、串标行为承诺书</w:t>
      </w:r>
    </w:p>
    <w:p>
      <w:pPr>
        <w:rPr>
          <w:rFonts w:hint="eastAsia"/>
          <w:sz w:val="24"/>
        </w:rPr>
      </w:pPr>
    </w:p>
    <w:p>
      <w:pPr>
        <w:spacing w:line="360" w:lineRule="auto"/>
        <w:ind w:firstLine="640"/>
        <w:rPr>
          <w:rFonts w:hint="eastAsia" w:ascii="宋体" w:hAnsi="宋体" w:cs="宋体"/>
          <w:sz w:val="24"/>
        </w:rPr>
      </w:pPr>
      <w:r>
        <w:rPr>
          <w:rFonts w:hint="eastAsia" w:ascii="宋体" w:hAnsi="宋体" w:cs="宋体"/>
          <w:sz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spacing w:line="360" w:lineRule="auto"/>
        <w:ind w:firstLine="480" w:firstLineChars="200"/>
        <w:rPr>
          <w:rFonts w:hint="eastAsia" w:ascii="宋体" w:hAnsi="宋体" w:cs="宋体"/>
          <w:sz w:val="24"/>
        </w:rPr>
      </w:pPr>
      <w:r>
        <w:rPr>
          <w:rFonts w:hint="eastAsia" w:ascii="宋体" w:hAnsi="宋体" w:cs="宋体"/>
          <w:sz w:val="24"/>
        </w:rPr>
        <w:t>1.不同供应商的投标文件由同一单位或者个人编制；</w:t>
      </w:r>
    </w:p>
    <w:p>
      <w:pPr>
        <w:spacing w:line="360" w:lineRule="auto"/>
        <w:ind w:firstLine="640"/>
        <w:rPr>
          <w:rFonts w:hint="eastAsia" w:ascii="宋体" w:hAnsi="宋体" w:cs="宋体"/>
          <w:sz w:val="24"/>
        </w:rPr>
      </w:pPr>
      <w:r>
        <w:rPr>
          <w:rFonts w:hint="eastAsia" w:ascii="宋体" w:hAnsi="宋体" w:cs="宋体"/>
          <w:sz w:val="24"/>
        </w:rPr>
        <w:t>2.不同供应商委托同一单位或者个人办理投标事宜；</w:t>
      </w:r>
    </w:p>
    <w:p>
      <w:pPr>
        <w:pStyle w:val="2"/>
        <w:spacing w:line="360" w:lineRule="auto"/>
        <w:ind w:firstLine="640"/>
        <w:rPr>
          <w:rFonts w:hint="eastAsia" w:ascii="宋体" w:hAnsi="宋体" w:cs="宋体"/>
          <w:sz w:val="24"/>
        </w:rPr>
      </w:pPr>
      <w:r>
        <w:rPr>
          <w:rFonts w:hint="eastAsia" w:ascii="宋体" w:hAnsi="宋体" w:cs="宋体"/>
          <w:sz w:val="24"/>
        </w:rPr>
        <w:t>3.不同供应商的投标文件载明的项目管理成员或者联系人员为同一人；</w:t>
      </w:r>
    </w:p>
    <w:p>
      <w:pPr>
        <w:spacing w:line="360" w:lineRule="auto"/>
        <w:ind w:firstLine="480" w:firstLineChars="200"/>
        <w:rPr>
          <w:rFonts w:hint="eastAsia" w:ascii="宋体" w:hAnsi="宋体" w:cs="宋体"/>
          <w:sz w:val="24"/>
        </w:rPr>
      </w:pPr>
      <w:r>
        <w:rPr>
          <w:rFonts w:hint="eastAsia" w:ascii="宋体" w:hAnsi="宋体" w:cs="宋体"/>
          <w:sz w:val="24"/>
        </w:rPr>
        <w:t>4.不同供应商的投标文件异常一致或者投标报价呈规律性差异；</w:t>
      </w:r>
    </w:p>
    <w:p>
      <w:pPr>
        <w:pStyle w:val="2"/>
        <w:spacing w:line="360" w:lineRule="auto"/>
        <w:ind w:firstLine="480" w:firstLineChars="200"/>
        <w:rPr>
          <w:rFonts w:hint="eastAsia" w:ascii="宋体" w:hAnsi="宋体" w:cs="宋体"/>
          <w:sz w:val="24"/>
        </w:rPr>
      </w:pPr>
      <w:r>
        <w:rPr>
          <w:rFonts w:hint="eastAsia" w:ascii="宋体" w:hAnsi="宋体" w:cs="宋体"/>
          <w:sz w:val="24"/>
        </w:rPr>
        <w:t>5.不同供应商的投标文件相互混装；</w:t>
      </w:r>
    </w:p>
    <w:p>
      <w:pPr>
        <w:spacing w:line="360" w:lineRule="auto"/>
        <w:ind w:firstLine="480" w:firstLineChars="200"/>
        <w:rPr>
          <w:rFonts w:hint="eastAsia" w:ascii="宋体" w:hAnsi="宋体" w:cs="宋体"/>
          <w:sz w:val="24"/>
        </w:rPr>
      </w:pPr>
      <w:r>
        <w:rPr>
          <w:rFonts w:hint="eastAsia" w:ascii="宋体" w:hAnsi="宋体" w:cs="宋体"/>
          <w:sz w:val="24"/>
        </w:rPr>
        <w:t>6.不同供应商的投标保证金从同一单位或者个人的账户转出；</w:t>
      </w:r>
    </w:p>
    <w:p>
      <w:pPr>
        <w:spacing w:line="360" w:lineRule="auto"/>
        <w:ind w:firstLine="480" w:firstLineChars="200"/>
        <w:rPr>
          <w:rFonts w:hint="eastAsia" w:ascii="宋体" w:hAnsi="宋体" w:cs="宋体"/>
          <w:sz w:val="24"/>
        </w:rPr>
      </w:pPr>
      <w:r>
        <w:rPr>
          <w:rFonts w:hint="eastAsia" w:ascii="宋体" w:hAnsi="宋体" w:cs="宋体"/>
          <w:sz w:val="24"/>
        </w:rPr>
        <w:t>7.不同供应商的董事、监事、高管、单位负责人为同一人或者存在控股、管理关系的不同单位参加同一采购项目；</w:t>
      </w:r>
    </w:p>
    <w:p>
      <w:pPr>
        <w:pStyle w:val="2"/>
        <w:spacing w:line="360" w:lineRule="auto"/>
        <w:ind w:firstLine="480" w:firstLineChars="200"/>
        <w:rPr>
          <w:rFonts w:hint="eastAsia" w:ascii="宋体" w:hAnsi="宋体" w:cs="宋体"/>
          <w:sz w:val="24"/>
        </w:rPr>
      </w:pPr>
      <w:r>
        <w:rPr>
          <w:rFonts w:hint="eastAsia" w:ascii="宋体" w:hAnsi="宋体" w:cs="宋体"/>
          <w:sz w:val="24"/>
        </w:rPr>
        <w:t>8.供应商之间事先约定由某一特定供应商中标、成交；</w:t>
      </w:r>
    </w:p>
    <w:p>
      <w:pPr>
        <w:spacing w:line="360" w:lineRule="auto"/>
        <w:ind w:firstLine="480" w:firstLineChars="200"/>
        <w:rPr>
          <w:rFonts w:hint="eastAsia" w:ascii="宋体" w:hAnsi="宋体" w:cs="宋体"/>
          <w:sz w:val="24"/>
        </w:rPr>
      </w:pPr>
      <w:r>
        <w:rPr>
          <w:rFonts w:hint="eastAsia" w:ascii="宋体" w:hAnsi="宋体" w:cs="宋体"/>
          <w:sz w:val="24"/>
        </w:rPr>
        <w:t>9.供应商之间商定部分供应商放弃参加采购活动或者放弃中标、成交；</w:t>
      </w:r>
    </w:p>
    <w:p>
      <w:pPr>
        <w:pStyle w:val="2"/>
        <w:spacing w:line="360" w:lineRule="auto"/>
        <w:rPr>
          <w:rFonts w:hint="eastAsia" w:ascii="宋体" w:hAnsi="宋体" w:cs="宋体"/>
          <w:sz w:val="24"/>
        </w:rPr>
      </w:pPr>
      <w:r>
        <w:rPr>
          <w:rFonts w:hint="eastAsia" w:ascii="宋体" w:hAnsi="宋体" w:cs="宋体"/>
          <w:sz w:val="24"/>
        </w:rPr>
        <w:t xml:space="preserve">    10.法律法规界定的其他围标串标行为。</w:t>
      </w:r>
    </w:p>
    <w:p>
      <w:pPr>
        <w:spacing w:line="360" w:lineRule="auto"/>
        <w:ind w:firstLine="480" w:firstLineChars="200"/>
        <w:rPr>
          <w:rFonts w:hint="eastAsia" w:ascii="宋体" w:hAnsi="宋体" w:cs="宋体"/>
          <w:sz w:val="24"/>
        </w:rPr>
      </w:pPr>
      <w:r>
        <w:rPr>
          <w:rFonts w:hint="eastAsia" w:ascii="宋体" w:hAnsi="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hint="eastAsia" w:ascii="宋体" w:hAnsi="宋体" w:cs="宋体"/>
          <w:sz w:val="24"/>
        </w:rPr>
      </w:pPr>
    </w:p>
    <w:p>
      <w:pPr>
        <w:pStyle w:val="2"/>
        <w:spacing w:line="360" w:lineRule="auto"/>
        <w:ind w:firstLine="480" w:firstLineChars="200"/>
        <w:rPr>
          <w:rFonts w:hint="eastAsia" w:ascii="宋体" w:hAnsi="宋体" w:cs="宋体"/>
          <w:sz w:val="24"/>
        </w:rPr>
      </w:pPr>
      <w:r>
        <w:rPr>
          <w:rFonts w:hint="eastAsia" w:ascii="宋体" w:hAnsi="宋体" w:cs="宋体"/>
          <w:sz w:val="24"/>
        </w:rPr>
        <w:t>投标人法人代表或委托代理人（承诺人） ：</w:t>
      </w:r>
    </w:p>
    <w:p>
      <w:pPr>
        <w:pStyle w:val="2"/>
        <w:spacing w:line="360" w:lineRule="auto"/>
        <w:ind w:firstLine="480" w:firstLineChars="200"/>
        <w:rPr>
          <w:rFonts w:hint="eastAsia" w:ascii="宋体" w:hAnsi="宋体" w:cs="宋体"/>
          <w:sz w:val="24"/>
        </w:rPr>
      </w:pPr>
      <w:r>
        <w:rPr>
          <w:rFonts w:hint="eastAsia" w:ascii="宋体" w:hAnsi="宋体" w:cs="宋体"/>
          <w:sz w:val="24"/>
        </w:rPr>
        <w:t xml:space="preserve">投标人：（公章）  </w:t>
      </w:r>
    </w:p>
    <w:p>
      <w:pPr>
        <w:pStyle w:val="8"/>
        <w:widowControl/>
        <w:shd w:val="clear" w:color="auto" w:fill="FFFFFF"/>
        <w:wordWrap w:val="0"/>
        <w:spacing w:before="0" w:beforeAutospacing="0" w:after="0" w:afterAutospacing="0" w:line="360" w:lineRule="auto"/>
        <w:rPr>
          <w:rFonts w:hint="eastAsia" w:ascii="宋体" w:hAnsi="宋体" w:cs="宋体"/>
        </w:rPr>
      </w:pPr>
      <w:r>
        <w:rPr>
          <w:rFonts w:hint="eastAsia" w:ascii="宋体" w:hAnsi="宋体" w:cs="宋体"/>
          <w:sz w:val="24"/>
        </w:rPr>
        <w:t>日期：   年    月    日</w:t>
      </w: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hint="eastAsia" w:ascii="黑体" w:hAnsi="黑体" w:eastAsia="黑体" w:cs="黑体"/>
          <w:b/>
          <w:bCs/>
          <w:sz w:val="32"/>
          <w:szCs w:val="32"/>
          <w:shd w:val="clear" w:color="auto" w:fill="FFFFFF"/>
        </w:rPr>
      </w:pPr>
    </w:p>
    <w:p>
      <w:pPr>
        <w:pStyle w:val="8"/>
        <w:widowControl/>
        <w:shd w:val="clear" w:color="auto" w:fill="FFFFFF"/>
        <w:wordWrap w:val="0"/>
        <w:spacing w:before="0" w:beforeAutospacing="0" w:after="0" w:afterAutospacing="0" w:line="360" w:lineRule="auto"/>
        <w:rPr>
          <w:rFonts w:ascii="宋体" w:hAnsi="宋体" w:cs="宋体"/>
          <w:shd w:val="clear" w:color="auto" w:fill="FFFFFF"/>
        </w:rPr>
      </w:pPr>
      <w:r>
        <w:rPr>
          <w:rFonts w:hint="eastAsia" w:ascii="黑体" w:hAnsi="黑体" w:eastAsia="黑体" w:cs="黑体"/>
          <w:b/>
          <w:bCs/>
          <w:sz w:val="32"/>
          <w:szCs w:val="32"/>
          <w:shd w:val="clear" w:color="auto" w:fill="FFFFFF"/>
        </w:rPr>
        <w:t>附件3 采购文件装订顺序</w:t>
      </w:r>
    </w:p>
    <w:p>
      <w:pPr>
        <w:pStyle w:val="8"/>
        <w:widowControl/>
        <w:shd w:val="clear" w:color="auto" w:fill="FFFFFF"/>
        <w:wordWrap w:val="0"/>
        <w:spacing w:before="0" w:beforeAutospacing="0" w:after="0" w:afterAutospacing="0" w:line="360" w:lineRule="auto"/>
        <w:jc w:val="center"/>
        <w:rPr>
          <w:rFonts w:hint="eastAsia" w:ascii="宋体" w:hAnsi="宋体" w:cs="宋体"/>
          <w:shd w:val="clear" w:color="auto" w:fill="FFFFFF"/>
        </w:rPr>
      </w:pPr>
    </w:p>
    <w:p>
      <w:pPr>
        <w:jc w:val="center"/>
        <w:rPr>
          <w:rFonts w:hint="eastAsia" w:ascii="宋体" w:hAnsi="宋体" w:eastAsia="宋体" w:cs="宋体"/>
          <w:b/>
          <w:bCs/>
          <w:color w:val="auto"/>
          <w:sz w:val="24"/>
          <w:szCs w:val="24"/>
          <w:highlight w:val="none"/>
          <w:u w:val="single"/>
          <w:lang w:val="en-US" w:eastAsia="zh-CN"/>
        </w:rPr>
      </w:pPr>
    </w:p>
    <w:p>
      <w:pPr>
        <w:jc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采购文件书装订顺序</w:t>
      </w: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w:t>
      </w:r>
      <w:r>
        <w:rPr>
          <w:rFonts w:hint="eastAsia" w:ascii="宋体" w:hAnsi="宋体" w:eastAsia="宋体" w:cs="宋体"/>
          <w:bCs/>
          <w:color w:val="000000"/>
          <w:spacing w:val="8"/>
          <w:sz w:val="24"/>
          <w:szCs w:val="24"/>
        </w:rPr>
        <w:t>封面（公司、项目、联系人、联系方式）；</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技术指标</w:t>
      </w:r>
      <w:r>
        <w:rPr>
          <w:rFonts w:hint="eastAsia" w:ascii="宋体" w:hAnsi="宋体" w:eastAsia="宋体" w:cs="宋体"/>
          <w:sz w:val="24"/>
          <w:szCs w:val="24"/>
          <w:lang w:val="en-US" w:eastAsia="zh-CN"/>
        </w:rPr>
        <w:t>要求</w:t>
      </w:r>
      <w:r>
        <w:rPr>
          <w:rFonts w:hint="eastAsia" w:ascii="宋体" w:hAnsi="宋体" w:eastAsia="宋体" w:cs="宋体"/>
          <w:sz w:val="24"/>
          <w:szCs w:val="24"/>
        </w:rPr>
        <w:t>应答表</w:t>
      </w:r>
      <w:r>
        <w:rPr>
          <w:rFonts w:hint="eastAsia" w:ascii="宋体" w:hAnsi="宋体" w:eastAsia="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企业营业执照（复印件）；</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供应商资质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认证证书及相关专利</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7.禁止围标、串标情况承诺函；</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法定代表人授权书、暨经办人授权书，法人、经办人身份证（复印件）；</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9.代理产品授权委托书；</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服务承诺书</w:t>
      </w:r>
      <w:r>
        <w:rPr>
          <w:rFonts w:hint="eastAsia" w:ascii="宋体" w:hAnsi="宋体" w:eastAsia="宋体" w:cs="宋体"/>
          <w:bCs/>
          <w:sz w:val="24"/>
          <w:szCs w:val="24"/>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keepNext w:val="0"/>
        <w:keepLines w:val="0"/>
        <w:pageBreakBefore w:val="0"/>
        <w:widowControl w:val="0"/>
        <w:numPr>
          <w:ilvl w:val="0"/>
          <w:numId w:val="2"/>
        </w:numPr>
        <w:kinsoku/>
        <w:wordWrap/>
        <w:overflowPunct/>
        <w:topLinePunct w:val="0"/>
        <w:autoSpaceDE/>
        <w:autoSpaceDN/>
        <w:bidi w:val="0"/>
        <w:snapToGrid/>
        <w:spacing w:line="360" w:lineRule="auto"/>
        <w:ind w:left="420" w:leftChars="0" w:hanging="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pStyle w:val="12"/>
        <w:pageBreakBefore/>
        <w:numPr>
          <w:ilvl w:val="0"/>
          <w:numId w:val="0"/>
        </w:numPr>
        <w:adjustRightInd w:val="0"/>
        <w:snapToGrid w:val="0"/>
        <w:spacing w:before="156" w:beforeLines="50" w:after="156" w:afterLines="50" w:line="360" w:lineRule="auto"/>
        <w:outlineLvl w:val="0"/>
        <w:rPr>
          <w:rFonts w:hint="eastAsia" w:ascii="微软雅黑" w:hAnsi="微软雅黑" w:eastAsia="微软雅黑"/>
          <w:b/>
          <w:sz w:val="28"/>
          <w:szCs w:val="21"/>
          <w:lang w:val="en-US" w:eastAsia="zh-CN"/>
        </w:rPr>
      </w:pPr>
    </w:p>
    <w:p>
      <w:pPr>
        <w:pStyle w:val="12"/>
        <w:pageBreakBefore/>
        <w:numPr>
          <w:numId w:val="0"/>
        </w:numPr>
        <w:adjustRightInd w:val="0"/>
        <w:snapToGrid w:val="0"/>
        <w:spacing w:before="156" w:beforeLines="50" w:after="156" w:afterLines="50" w:line="360" w:lineRule="auto"/>
        <w:ind w:left="280" w:leftChars="0"/>
        <w:outlineLvl w:val="0"/>
        <w:rPr>
          <w:rFonts w:hint="default" w:ascii="微软雅黑" w:hAnsi="微软雅黑" w:eastAsia="微软雅黑"/>
          <w:b/>
          <w:sz w:val="28"/>
          <w:szCs w:val="21"/>
          <w:lang w:val="en-US" w:eastAsia="zh-CN"/>
        </w:rPr>
      </w:pPr>
    </w:p>
    <w:p>
      <w:pPr>
        <w:pStyle w:val="12"/>
        <w:pageBreakBefore/>
        <w:numPr>
          <w:ilvl w:val="0"/>
          <w:numId w:val="0"/>
        </w:numPr>
        <w:adjustRightInd w:val="0"/>
        <w:snapToGrid w:val="0"/>
        <w:spacing w:before="156" w:beforeLines="50" w:after="156" w:afterLines="50" w:line="360" w:lineRule="auto"/>
        <w:outlineLvl w:val="0"/>
        <w:rPr>
          <w:rFonts w:hint="eastAsia" w:ascii="微软雅黑" w:hAnsi="微软雅黑" w:eastAsia="微软雅黑"/>
          <w:b/>
          <w:sz w:val="28"/>
          <w:szCs w:val="21"/>
        </w:rPr>
      </w:pPr>
      <w:r>
        <w:rPr>
          <w:rFonts w:hint="eastAsia" w:ascii="微软雅黑" w:hAnsi="微软雅黑" w:eastAsia="微软雅黑"/>
          <w:b/>
          <w:sz w:val="28"/>
          <w:szCs w:val="21"/>
          <w:lang w:val="en-US" w:eastAsia="zh-CN"/>
        </w:rPr>
        <w:t xml:space="preserve">                                                      </w:t>
      </w:r>
    </w:p>
    <w:p>
      <w:pPr>
        <w:pStyle w:val="12"/>
        <w:pageBreakBefore/>
        <w:widowControl w:val="0"/>
        <w:numPr>
          <w:ilvl w:val="0"/>
          <w:numId w:val="0"/>
        </w:numPr>
        <w:adjustRightInd w:val="0"/>
        <w:snapToGrid w:val="0"/>
        <w:spacing w:before="156" w:beforeLines="50" w:after="156" w:afterLines="50" w:line="360" w:lineRule="auto"/>
        <w:jc w:val="both"/>
        <w:outlineLvl w:val="0"/>
        <w:rPr>
          <w:rFonts w:hint="eastAsia" w:ascii="微软雅黑" w:hAnsi="微软雅黑" w:eastAsia="微软雅黑"/>
          <w:b/>
          <w:sz w:val="28"/>
          <w:szCs w:val="21"/>
        </w:rPr>
      </w:pPr>
    </w:p>
    <w:p>
      <w:pPr>
        <w:pStyle w:val="12"/>
        <w:pageBreakBefore/>
        <w:numPr>
          <w:numId w:val="0"/>
        </w:numPr>
        <w:adjustRightInd w:val="0"/>
        <w:snapToGrid w:val="0"/>
        <w:spacing w:before="156" w:beforeLines="50" w:after="156" w:afterLines="50" w:line="360" w:lineRule="auto"/>
        <w:outlineLvl w:val="0"/>
        <w:rPr>
          <w:rFonts w:hint="eastAsia" w:ascii="微软雅黑" w:hAnsi="微软雅黑" w:eastAsia="微软雅黑"/>
          <w:b/>
          <w:sz w:val="28"/>
          <w:szCs w:val="21"/>
        </w:rPr>
      </w:pPr>
      <w:bookmarkStart w:id="21" w:name="_GoBack"/>
      <w:bookmarkEnd w:id="21"/>
    </w:p>
    <w:p>
      <w:pPr>
        <w:pStyle w:val="12"/>
        <w:pageBreakBefore/>
        <w:numPr>
          <w:ilvl w:val="0"/>
          <w:numId w:val="0"/>
        </w:numPr>
        <w:adjustRightInd w:val="0"/>
        <w:snapToGrid w:val="0"/>
        <w:spacing w:before="156" w:beforeLines="50" w:after="156" w:afterLines="50" w:line="360" w:lineRule="auto"/>
        <w:outlineLvl w:val="0"/>
        <w:rPr>
          <w:rFonts w:hint="eastAsia" w:ascii="微软雅黑" w:hAnsi="微软雅黑" w:eastAsia="微软雅黑"/>
          <w:b/>
          <w:sz w:val="28"/>
          <w:szCs w:val="21"/>
        </w:rPr>
      </w:pPr>
    </w:p>
    <w:p>
      <w:pPr>
        <w:pStyle w:val="12"/>
        <w:numPr>
          <w:ilvl w:val="0"/>
          <w:numId w:val="0"/>
        </w:numPr>
        <w:adjustRightInd w:val="0"/>
        <w:snapToGrid w:val="0"/>
        <w:spacing w:before="156" w:beforeLines="50" w:after="156" w:afterLines="50" w:line="360" w:lineRule="auto"/>
        <w:outlineLvl w:val="0"/>
        <w:rPr>
          <w:rFonts w:hint="eastAsia" w:ascii="微软雅黑" w:hAnsi="微软雅黑" w:eastAsia="微软雅黑"/>
          <w:b/>
          <w:sz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2281F"/>
    <w:multiLevelType w:val="singleLevel"/>
    <w:tmpl w:val="D492281F"/>
    <w:lvl w:ilvl="0" w:tentative="0">
      <w:start w:val="3"/>
      <w:numFmt w:val="chineseCounting"/>
      <w:suff w:val="nothing"/>
      <w:lvlText w:val="%1、"/>
      <w:lvlJc w:val="left"/>
      <w:pPr>
        <w:ind w:left="280" w:leftChars="0" w:firstLine="0" w:firstLineChars="0"/>
      </w:pPr>
      <w:rPr>
        <w:rFonts w:hint="eastAsia"/>
      </w:rPr>
    </w:lvl>
  </w:abstractNum>
  <w:abstractNum w:abstractNumId="1">
    <w:nsid w:val="44F9AD1D"/>
    <w:multiLevelType w:val="singleLevel"/>
    <w:tmpl w:val="44F9AD1D"/>
    <w:lvl w:ilvl="0" w:tentative="0">
      <w:start w:val="1"/>
      <w:numFmt w:val="bullet"/>
      <w:lvlText w:val=""/>
      <w:lvlJc w:val="left"/>
      <w:pPr>
        <w:ind w:left="420" w:hanging="420"/>
      </w:pPr>
      <w:rPr>
        <w:rFonts w:hint="default" w:ascii="Wingdings" w:hAnsi="Wingding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F3FA6"/>
    <w:rsid w:val="02DA21E7"/>
    <w:rsid w:val="078F1AE3"/>
    <w:rsid w:val="0D604588"/>
    <w:rsid w:val="0D901228"/>
    <w:rsid w:val="0F587E10"/>
    <w:rsid w:val="100B2FA6"/>
    <w:rsid w:val="12B940E5"/>
    <w:rsid w:val="146440C2"/>
    <w:rsid w:val="16713D1B"/>
    <w:rsid w:val="16B67DE9"/>
    <w:rsid w:val="184C77E2"/>
    <w:rsid w:val="1B850C2A"/>
    <w:rsid w:val="20EC64BF"/>
    <w:rsid w:val="2976604A"/>
    <w:rsid w:val="2D8C4461"/>
    <w:rsid w:val="30851319"/>
    <w:rsid w:val="30D21DCC"/>
    <w:rsid w:val="32A33FFE"/>
    <w:rsid w:val="3339183B"/>
    <w:rsid w:val="3D063CD0"/>
    <w:rsid w:val="43674656"/>
    <w:rsid w:val="44B24448"/>
    <w:rsid w:val="54005E73"/>
    <w:rsid w:val="56261030"/>
    <w:rsid w:val="5A632BCE"/>
    <w:rsid w:val="5AEB3502"/>
    <w:rsid w:val="5CB10639"/>
    <w:rsid w:val="62C720EF"/>
    <w:rsid w:val="64106722"/>
    <w:rsid w:val="64491E83"/>
    <w:rsid w:val="65783624"/>
    <w:rsid w:val="68410C43"/>
    <w:rsid w:val="6ED13BDC"/>
    <w:rsid w:val="700A0F24"/>
    <w:rsid w:val="70A40688"/>
    <w:rsid w:val="72EF618C"/>
    <w:rsid w:val="730051F6"/>
    <w:rsid w:val="73D55E09"/>
    <w:rsid w:val="74E91BBF"/>
    <w:rsid w:val="77AB7A78"/>
    <w:rsid w:val="77B44B84"/>
    <w:rsid w:val="77F54EB3"/>
    <w:rsid w:val="79C03C33"/>
    <w:rsid w:val="7B8C34F3"/>
    <w:rsid w:val="7F36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Plain Text"/>
    <w:basedOn w:val="1"/>
    <w:qFormat/>
    <w:uiPriority w:val="0"/>
    <w:rPr>
      <w:rFonts w:ascii="宋体" w:eastAsia="宋体"/>
    </w:rPr>
  </w:style>
  <w:style w:type="paragraph" w:styleId="7">
    <w:name w:val="Body Text Indent 2"/>
    <w:basedOn w:val="1"/>
    <w:qFormat/>
    <w:uiPriority w:val="0"/>
    <w:pPr>
      <w:ind w:firstLine="540" w:firstLineChars="257"/>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2023-01-10T08:01:00Z</dcterms:created>
  <dc:creator>HP</dc:creator>
  <cp:lastModifiedBy>王准</cp:lastModifiedBy>
  <dcterms:modified xsi:type="dcterms:W3CDTF">2023-01-11T10:10:54Z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