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6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移动铅防护屏风</w:t>
            </w:r>
          </w:p>
        </w:tc>
        <w:tc>
          <w:tcPr>
            <w:tcW w:w="6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三联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高1800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宽（500+1000+500）mm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具体尺寸可定制）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铅当量≥2.0mmpb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  <w:t>配置静音脚轮，带有刹车功能。</w:t>
            </w:r>
          </w:p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4.具有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  <w:t>铅玻璃观察窗：使用高铅玻璃，铅玻璃厚度符合中华人民共和国医药行业标准YY/T 0128-2004（医用诊断X射线辐射防护器具装置及用具） 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4MWU4MGZkZjcwM2FhOTFlZjRhMGVjNzIxNmJkZTgifQ=="/>
  </w:docVars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63B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0"/>
    <w:rPr>
      <w:rFonts w:ascii="Segoe UI" w:hAnsi="Segoe UI" w:eastAsia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hover16"/>
    <w:basedOn w:val="7"/>
    <w:uiPriority w:val="0"/>
    <w:rPr>
      <w:color w:val="1A85D7"/>
    </w:rPr>
  </w:style>
  <w:style w:type="character" w:customStyle="1" w:styleId="17">
    <w:name w:val="hover17"/>
    <w:basedOn w:val="7"/>
    <w:uiPriority w:val="0"/>
    <w:rPr>
      <w:b/>
      <w:bCs/>
      <w:color w:val="C85F1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440</Characters>
  <Lines>4</Lines>
  <Paragraphs>1</Paragraphs>
  <TotalTime>2</TotalTime>
  <ScaleCrop>false</ScaleCrop>
  <LinksUpToDate>false</LinksUpToDate>
  <CharactersWithSpaces>528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翟玉龙</cp:lastModifiedBy>
  <dcterms:modified xsi:type="dcterms:W3CDTF">2023-01-18T02:37:14Z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E5BA9F575EC9454EA9E411484630DBE5</vt:lpwstr>
  </property>
</Properties>
</file>