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采购项目编号：SCFY-YXZB202301-003（比）</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4.5</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1"/>
        <w:tblW w:w="9835" w:type="dxa"/>
        <w:tblInd w:w="0" w:type="dxa"/>
        <w:tblLayout w:type="fixed"/>
        <w:tblCellMar>
          <w:top w:w="0" w:type="dxa"/>
          <w:left w:w="0" w:type="dxa"/>
          <w:bottom w:w="0" w:type="dxa"/>
          <w:right w:w="0" w:type="dxa"/>
        </w:tblCellMar>
      </w:tblPr>
      <w:tblGrid>
        <w:gridCol w:w="336"/>
        <w:gridCol w:w="804"/>
        <w:gridCol w:w="924"/>
        <w:gridCol w:w="7771"/>
      </w:tblGrid>
      <w:tr>
        <w:tblPrEx>
          <w:tblCellMar>
            <w:top w:w="0" w:type="dxa"/>
            <w:left w:w="0" w:type="dxa"/>
            <w:bottom w:w="0" w:type="dxa"/>
            <w:right w:w="0" w:type="dxa"/>
          </w:tblCellMar>
        </w:tblPrEx>
        <w:trPr>
          <w:trHeight w:val="860" w:hRule="atLeast"/>
        </w:trPr>
        <w:tc>
          <w:tcPr>
            <w:tcW w:w="336"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80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924"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7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11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雾化吸入器</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1300</w:t>
            </w:r>
          </w:p>
        </w:tc>
        <w:tc>
          <w:tcPr>
            <w:tcW w:w="7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1"/>
              </w:numPr>
              <w:jc w:val="left"/>
              <w:textAlignment w:val="center"/>
              <w:rPr>
                <w:rFonts w:hint="eastAsia"/>
                <w:lang w:val="en-US" w:eastAsia="zh-CN"/>
              </w:rPr>
            </w:pPr>
            <w:r>
              <w:rPr>
                <w:rFonts w:hint="eastAsia"/>
                <w:lang w:val="en-US" w:eastAsia="zh-CN"/>
              </w:rPr>
              <w:t>供临床雾化治疗时使用。</w:t>
            </w:r>
          </w:p>
          <w:p>
            <w:pPr>
              <w:widowControl/>
              <w:numPr>
                <w:ilvl w:val="0"/>
                <w:numId w:val="1"/>
              </w:numPr>
              <w:jc w:val="left"/>
              <w:textAlignment w:val="center"/>
              <w:rPr>
                <w:rFonts w:hint="eastAsia"/>
                <w:lang w:val="en-US" w:eastAsia="zh-CN"/>
              </w:rPr>
            </w:pPr>
            <w:r>
              <w:rPr>
                <w:rFonts w:hint="eastAsia"/>
                <w:lang w:val="en-US" w:eastAsia="zh-CN"/>
              </w:rPr>
              <w:t>由雾化杯（瓶）、气导管、咬嘴或面罩组成。</w:t>
            </w:r>
          </w:p>
          <w:p>
            <w:pPr>
              <w:widowControl/>
              <w:numPr>
                <w:ilvl w:val="0"/>
                <w:numId w:val="1"/>
              </w:numPr>
              <w:ind w:left="0" w:leftChars="0" w:firstLine="0" w:firstLineChars="0"/>
              <w:jc w:val="left"/>
              <w:textAlignment w:val="center"/>
              <w:rPr>
                <w:rFonts w:hint="eastAsia"/>
                <w:lang w:val="en-US" w:eastAsia="zh-CN"/>
              </w:rPr>
            </w:pPr>
            <w:r>
              <w:rPr>
                <w:rFonts w:hint="eastAsia"/>
                <w:lang w:val="en-US" w:eastAsia="zh-CN"/>
              </w:rPr>
              <w:t>能提供多种型号适用不同患者，包括但不限于成人型、儿童面罩型等。</w:t>
            </w:r>
          </w:p>
          <w:p>
            <w:pPr>
              <w:widowControl/>
              <w:numPr>
                <w:ilvl w:val="0"/>
                <w:numId w:val="0"/>
              </w:numPr>
              <w:jc w:val="left"/>
              <w:textAlignment w:val="center"/>
              <w:rPr>
                <w:rFonts w:hint="default"/>
                <w:lang w:val="en-US" w:eastAsia="zh-CN"/>
              </w:rPr>
            </w:pPr>
            <w:r>
              <w:rPr>
                <w:rFonts w:hint="eastAsia"/>
                <w:lang w:val="en-US" w:eastAsia="zh-CN"/>
              </w:rPr>
              <w:t>★4. 雾化速度可调节。</w:t>
            </w:r>
          </w:p>
          <w:p>
            <w:pPr>
              <w:widowControl/>
              <w:numPr>
                <w:ilvl w:val="0"/>
                <w:numId w:val="0"/>
              </w:numPr>
              <w:jc w:val="left"/>
              <w:textAlignment w:val="center"/>
              <w:rPr>
                <w:rFonts w:hint="default"/>
                <w:lang w:val="en-US"/>
              </w:rPr>
            </w:pPr>
            <w:r>
              <w:rPr>
                <w:rFonts w:hint="eastAsia"/>
                <w:lang w:val="en-US" w:eastAsia="zh-CN"/>
              </w:rPr>
              <w:t>★5. 雾化杯容量≥8ml，</w:t>
            </w:r>
            <w:r>
              <w:rPr>
                <w:rFonts w:hint="eastAsia"/>
                <w:highlight w:val="none"/>
                <w:lang w:val="en-US" w:eastAsia="zh-CN"/>
              </w:rPr>
              <w:t>残液量≤1.0ml。</w:t>
            </w:r>
          </w:p>
          <w:p>
            <w:pPr>
              <w:widowControl/>
              <w:numPr>
                <w:ilvl w:val="0"/>
                <w:numId w:val="0"/>
              </w:numPr>
              <w:jc w:val="left"/>
              <w:textAlignment w:val="center"/>
              <w:rPr>
                <w:rFonts w:hint="eastAsia"/>
                <w:lang w:val="en-US" w:eastAsia="zh-CN"/>
              </w:rPr>
            </w:pPr>
            <w:r>
              <w:rPr>
                <w:rFonts w:hint="eastAsia"/>
                <w:lang w:val="en-US" w:eastAsia="zh-CN"/>
              </w:rPr>
              <w:t>★6. 喷雾器喷出的雾呈均匀雾状，无水滴。</w:t>
            </w:r>
          </w:p>
          <w:p>
            <w:pPr>
              <w:widowControl/>
              <w:numPr>
                <w:ilvl w:val="0"/>
                <w:numId w:val="0"/>
              </w:numPr>
              <w:jc w:val="left"/>
              <w:textAlignment w:val="center"/>
              <w:rPr>
                <w:rFonts w:hint="default"/>
                <w:lang w:val="en-US" w:eastAsia="zh-CN"/>
              </w:rPr>
            </w:pPr>
            <w:r>
              <w:rPr>
                <w:rFonts w:hint="eastAsia"/>
                <w:lang w:val="en-US" w:eastAsia="zh-CN"/>
              </w:rPr>
              <w:t>★7. 小于5um的雾化颗粒占比大于60%。</w:t>
            </w:r>
          </w:p>
          <w:p>
            <w:pPr>
              <w:widowControl/>
              <w:numPr>
                <w:ilvl w:val="0"/>
                <w:numId w:val="2"/>
              </w:numPr>
              <w:jc w:val="left"/>
              <w:textAlignment w:val="center"/>
              <w:rPr>
                <w:rFonts w:hint="default"/>
                <w:lang w:val="en-US"/>
              </w:rPr>
            </w:pPr>
            <w:r>
              <w:rPr>
                <w:rFonts w:hint="eastAsia"/>
                <w:lang w:val="en-US" w:eastAsia="zh-CN"/>
              </w:rPr>
              <w:t>不含塑化剂。</w:t>
            </w:r>
          </w:p>
        </w:tc>
      </w:tr>
      <w:tr>
        <w:tblPrEx>
          <w:tblCellMar>
            <w:top w:w="0" w:type="dxa"/>
            <w:left w:w="0" w:type="dxa"/>
            <w:bottom w:w="0" w:type="dxa"/>
            <w:right w:w="0" w:type="dxa"/>
          </w:tblCellMar>
        </w:tblPrEx>
        <w:trPr>
          <w:trHeight w:val="11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雾化吸入器</w:t>
            </w:r>
          </w:p>
          <w:p>
            <w:pPr>
              <w:widowControl/>
              <w:jc w:val="center"/>
              <w:textAlignment w:val="center"/>
              <w:rPr>
                <w:rFonts w:hint="default"/>
                <w:lang w:val="en-US" w:eastAsia="zh-CN"/>
              </w:rPr>
            </w:pPr>
            <w:r>
              <w:rPr>
                <w:rFonts w:hint="eastAsia"/>
                <w:lang w:val="en-US" w:eastAsia="zh-CN"/>
              </w:rPr>
              <w:t>（呼吸机型）</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260</w:t>
            </w:r>
          </w:p>
        </w:tc>
        <w:tc>
          <w:tcPr>
            <w:tcW w:w="77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3"/>
              </w:numPr>
              <w:jc w:val="left"/>
              <w:textAlignment w:val="center"/>
              <w:rPr>
                <w:rFonts w:hint="default"/>
                <w:lang w:val="en-US" w:eastAsia="zh-CN"/>
              </w:rPr>
            </w:pPr>
            <w:r>
              <w:rPr>
                <w:rFonts w:hint="eastAsia"/>
                <w:lang w:val="en-US" w:eastAsia="zh-CN"/>
              </w:rPr>
              <w:t>供医院重症医学科连接到呼吸机管路上雾化治疗时使用。</w:t>
            </w:r>
          </w:p>
          <w:p>
            <w:pPr>
              <w:widowControl/>
              <w:numPr>
                <w:ilvl w:val="0"/>
                <w:numId w:val="0"/>
              </w:numPr>
              <w:jc w:val="left"/>
              <w:textAlignment w:val="center"/>
              <w:rPr>
                <w:rFonts w:hint="eastAsia"/>
                <w:lang w:val="en-US" w:eastAsia="zh-CN"/>
              </w:rPr>
            </w:pPr>
            <w:r>
              <w:rPr>
                <w:rFonts w:hint="eastAsia"/>
                <w:lang w:val="en-US" w:eastAsia="zh-CN"/>
              </w:rPr>
              <w:t>▲2. 可连接到呼吸机管路的病人吸入端使用（如不能直接连接，需免费配备转换接头）。</w:t>
            </w:r>
          </w:p>
          <w:p>
            <w:pPr>
              <w:widowControl/>
              <w:numPr>
                <w:ilvl w:val="0"/>
                <w:numId w:val="0"/>
              </w:numPr>
              <w:jc w:val="left"/>
              <w:textAlignment w:val="center"/>
              <w:rPr>
                <w:rFonts w:hint="eastAsia"/>
                <w:lang w:val="en-US" w:eastAsia="zh-CN"/>
              </w:rPr>
            </w:pPr>
            <w:r>
              <w:rPr>
                <w:rFonts w:hint="eastAsia"/>
                <w:lang w:val="en-US" w:eastAsia="zh-CN"/>
              </w:rPr>
              <w:t>▲3. 环氧乙烷灭菌，一次性使用。</w:t>
            </w:r>
          </w:p>
          <w:p>
            <w:pPr>
              <w:widowControl/>
              <w:numPr>
                <w:ilvl w:val="0"/>
                <w:numId w:val="1"/>
              </w:numPr>
              <w:ind w:left="0" w:leftChars="0" w:firstLine="0" w:firstLineChars="0"/>
              <w:jc w:val="left"/>
              <w:textAlignment w:val="center"/>
              <w:rPr>
                <w:rFonts w:hint="default"/>
                <w:lang w:val="en-US" w:eastAsia="zh-CN"/>
              </w:rPr>
            </w:pPr>
            <w:r>
              <w:rPr>
                <w:rFonts w:hint="eastAsia"/>
                <w:lang w:val="en-US" w:eastAsia="zh-CN"/>
              </w:rPr>
              <w:t>雾化杯设计有加药孔，加药时无需断开病人的呼吸回路，能满足患者持续雾化的需求。</w:t>
            </w:r>
          </w:p>
          <w:p>
            <w:pPr>
              <w:widowControl/>
              <w:numPr>
                <w:ilvl w:val="0"/>
                <w:numId w:val="0"/>
              </w:numPr>
              <w:ind w:leftChars="0"/>
              <w:jc w:val="left"/>
              <w:textAlignment w:val="center"/>
              <w:rPr>
                <w:rFonts w:hint="default"/>
                <w:lang w:val="en-US" w:eastAsia="zh-CN"/>
              </w:rPr>
            </w:pPr>
            <w:r>
              <w:rPr>
                <w:rFonts w:hint="eastAsia"/>
                <w:lang w:val="en-US" w:eastAsia="zh-CN"/>
              </w:rPr>
              <w:t>★5. 雾化杯残液量≤0.5ml。</w:t>
            </w:r>
          </w:p>
          <w:p>
            <w:pPr>
              <w:widowControl/>
              <w:numPr>
                <w:ilvl w:val="0"/>
                <w:numId w:val="0"/>
              </w:numPr>
              <w:ind w:leftChars="0"/>
              <w:jc w:val="left"/>
              <w:textAlignment w:val="center"/>
              <w:rPr>
                <w:rFonts w:hint="default"/>
                <w:lang w:val="en-US" w:eastAsia="zh-CN"/>
              </w:rPr>
            </w:pPr>
            <w:r>
              <w:rPr>
                <w:rFonts w:hint="eastAsia"/>
                <w:lang w:val="en-US" w:eastAsia="zh-CN"/>
              </w:rPr>
              <w:t xml:space="preserve">★6. </w:t>
            </w:r>
            <w:r>
              <w:rPr>
                <w:rFonts w:hint="default"/>
                <w:lang w:val="en-US" w:eastAsia="zh-CN"/>
              </w:rPr>
              <w:t>有防逆流</w:t>
            </w:r>
            <w:r>
              <w:rPr>
                <w:rFonts w:hint="eastAsia"/>
                <w:lang w:val="en-US" w:eastAsia="zh-CN"/>
              </w:rPr>
              <w:t>设</w:t>
            </w:r>
            <w:r>
              <w:rPr>
                <w:rFonts w:hint="default"/>
                <w:lang w:val="en-US" w:eastAsia="zh-CN"/>
              </w:rPr>
              <w:t>置，可防止药杯内药液逆流到呼吸机管路。</w:t>
            </w:r>
          </w:p>
        </w:tc>
      </w:tr>
    </w:tbl>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color w:val="FF0000"/>
          <w:lang w:eastAsia="zh-CN"/>
        </w:rPr>
      </w:pPr>
      <w:r>
        <w:rPr>
          <w:rFonts w:hint="eastAsia"/>
          <w:color w:val="FF0000"/>
        </w:rPr>
        <w:t>▲</w:t>
      </w:r>
      <w:r>
        <w:rPr>
          <w:rFonts w:hint="eastAsia"/>
          <w:color w:val="FF0000"/>
          <w:lang w:val="en-US" w:eastAsia="zh-CN"/>
        </w:rPr>
        <w:t xml:space="preserve">1. </w:t>
      </w:r>
      <w:r>
        <w:rPr>
          <w:rFonts w:hint="eastAsia"/>
          <w:color w:val="FF0000"/>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color w:val="FF0000"/>
          <w:lang w:eastAsia="zh-CN"/>
        </w:rPr>
        <w:t>（</w:t>
      </w:r>
      <w:r>
        <w:rPr>
          <w:rFonts w:hint="eastAsia"/>
          <w:color w:val="FF0000"/>
          <w:lang w:val="en-US" w:eastAsia="zh-CN"/>
        </w:rPr>
        <w:t>已经挂网的需要提供集采平台挂网截图</w:t>
      </w:r>
      <w:r>
        <w:rPr>
          <w:rFonts w:hint="eastAsia"/>
          <w:color w:val="FF0000"/>
          <w:lang w:eastAsia="zh-CN"/>
        </w:rPr>
        <w:t>）</w:t>
      </w:r>
    </w:p>
    <w:p>
      <w:pPr>
        <w:pStyle w:val="3"/>
        <w:spacing w:line="400" w:lineRule="exact"/>
        <w:ind w:firstLine="480"/>
        <w:rPr>
          <w:rFonts w:hint="eastAsia"/>
          <w:color w:val="FF0000"/>
          <w:lang w:eastAsia="zh-CN"/>
        </w:rPr>
      </w:pPr>
      <w:r>
        <w:rPr>
          <w:rFonts w:hint="eastAsia"/>
          <w:color w:val="FF0000"/>
        </w:rPr>
        <w:t>▲</w:t>
      </w:r>
      <w:r>
        <w:rPr>
          <w:rFonts w:hint="eastAsia"/>
          <w:color w:val="FF0000"/>
          <w:lang w:val="en-US" w:eastAsia="zh-CN"/>
        </w:rPr>
        <w:t>2. 成交供应商在合同期内需配置雾化机，配置数量能满足医院各科室使用需求，并根据医院业务发展需要实时增加设备数量。</w:t>
      </w:r>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Spec="center" w:tblpY="22"/>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84"/>
        <w:gridCol w:w="480"/>
        <w:gridCol w:w="6648"/>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8" w:type="dxa"/>
            <w:noWrap/>
            <w:vAlign w:val="center"/>
          </w:tcPr>
          <w:p>
            <w:pPr>
              <w:widowControl/>
              <w:spacing w:line="240" w:lineRule="atLeast"/>
              <w:jc w:val="center"/>
              <w:rPr>
                <w:color w:val="auto"/>
              </w:rPr>
            </w:pPr>
            <w:r>
              <w:rPr>
                <w:rFonts w:hint="eastAsia"/>
                <w:color w:val="auto"/>
              </w:rPr>
              <w:t>序号</w:t>
            </w:r>
          </w:p>
        </w:tc>
        <w:tc>
          <w:tcPr>
            <w:tcW w:w="984" w:type="dxa"/>
            <w:noWrap/>
            <w:vAlign w:val="center"/>
          </w:tcPr>
          <w:p>
            <w:pPr>
              <w:widowControl/>
              <w:spacing w:line="240" w:lineRule="atLeast"/>
              <w:jc w:val="center"/>
              <w:rPr>
                <w:color w:val="auto"/>
              </w:rPr>
            </w:pPr>
            <w:r>
              <w:rPr>
                <w:rFonts w:hint="eastAsia"/>
                <w:color w:val="auto"/>
              </w:rPr>
              <w:t>评分因素及权重</w:t>
            </w:r>
          </w:p>
        </w:tc>
        <w:tc>
          <w:tcPr>
            <w:tcW w:w="480" w:type="dxa"/>
            <w:noWrap/>
            <w:vAlign w:val="center"/>
          </w:tcPr>
          <w:p>
            <w:pPr>
              <w:widowControl/>
              <w:wordWrap w:val="0"/>
              <w:spacing w:line="240" w:lineRule="atLeast"/>
              <w:jc w:val="center"/>
              <w:rPr>
                <w:color w:val="auto"/>
              </w:rPr>
            </w:pPr>
            <w:r>
              <w:rPr>
                <w:rFonts w:hint="eastAsia"/>
                <w:color w:val="auto"/>
              </w:rPr>
              <w:t>分值</w:t>
            </w:r>
          </w:p>
        </w:tc>
        <w:tc>
          <w:tcPr>
            <w:tcW w:w="6648" w:type="dxa"/>
            <w:noWrap/>
            <w:vAlign w:val="center"/>
          </w:tcPr>
          <w:p>
            <w:pPr>
              <w:widowControl/>
              <w:wordWrap w:val="0"/>
              <w:spacing w:line="240" w:lineRule="atLeast"/>
              <w:jc w:val="center"/>
              <w:rPr>
                <w:color w:val="auto"/>
              </w:rPr>
            </w:pPr>
            <w:r>
              <w:rPr>
                <w:rFonts w:hint="eastAsia"/>
                <w:color w:val="auto"/>
              </w:rPr>
              <w:t>评分标准</w:t>
            </w:r>
          </w:p>
        </w:tc>
        <w:tc>
          <w:tcPr>
            <w:tcW w:w="643" w:type="dxa"/>
            <w:noWrap/>
            <w:vAlign w:val="center"/>
          </w:tcPr>
          <w:p>
            <w:pPr>
              <w:widowControl/>
              <w:wordWrap w:val="0"/>
              <w:spacing w:line="240" w:lineRule="atLeast"/>
              <w:jc w:val="center"/>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08" w:type="dxa"/>
            <w:noWrap/>
            <w:vAlign w:val="center"/>
          </w:tcPr>
          <w:p>
            <w:pPr>
              <w:widowControl/>
              <w:wordWrap w:val="0"/>
              <w:spacing w:line="270" w:lineRule="atLeast"/>
              <w:jc w:val="center"/>
              <w:rPr>
                <w:color w:val="auto"/>
              </w:rPr>
            </w:pPr>
            <w:r>
              <w:rPr>
                <w:rFonts w:hint="eastAsia"/>
                <w:color w:val="auto"/>
              </w:rPr>
              <w:t>1</w:t>
            </w:r>
          </w:p>
        </w:tc>
        <w:tc>
          <w:tcPr>
            <w:tcW w:w="984" w:type="dxa"/>
            <w:noWrap/>
            <w:vAlign w:val="center"/>
          </w:tcPr>
          <w:p>
            <w:pPr>
              <w:widowControl/>
              <w:wordWrap w:val="0"/>
              <w:spacing w:line="270" w:lineRule="atLeast"/>
              <w:jc w:val="center"/>
              <w:rPr>
                <w:color w:val="auto"/>
              </w:rPr>
            </w:pPr>
            <w:r>
              <w:rPr>
                <w:rFonts w:hint="eastAsia"/>
                <w:color w:val="auto"/>
              </w:rPr>
              <w:t>报价</w:t>
            </w:r>
          </w:p>
          <w:p>
            <w:pPr>
              <w:widowControl/>
              <w:wordWrap w:val="0"/>
              <w:spacing w:line="270" w:lineRule="atLeast"/>
              <w:jc w:val="center"/>
              <w:rPr>
                <w:color w:val="auto"/>
              </w:rPr>
            </w:pPr>
            <w:r>
              <w:rPr>
                <w:rFonts w:hint="eastAsia"/>
                <w:color w:val="auto"/>
                <w:lang w:val="en-US" w:eastAsia="zh-CN"/>
              </w:rPr>
              <w:t>35</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35</w:t>
            </w:r>
            <w:r>
              <w:rPr>
                <w:rFonts w:hint="eastAsia"/>
                <w:color w:val="auto"/>
              </w:rPr>
              <w:t>分</w:t>
            </w:r>
          </w:p>
        </w:tc>
        <w:tc>
          <w:tcPr>
            <w:tcW w:w="6648" w:type="dxa"/>
            <w:noWrap/>
            <w:vAlign w:val="center"/>
          </w:tcPr>
          <w:p>
            <w:pPr>
              <w:widowControl/>
              <w:wordWrap w:val="0"/>
              <w:spacing w:line="270" w:lineRule="atLeast"/>
              <w:jc w:val="left"/>
              <w:rPr>
                <w:rFonts w:ascii="宋体" w:hAnsi="宋体" w:cs="Segoe UI"/>
                <w:b/>
                <w:kern w:val="0"/>
              </w:rPr>
            </w:pPr>
            <w:r>
              <w:rPr>
                <w:rFonts w:hint="eastAsia" w:ascii="宋体" w:hAnsi="宋体" w:cs="Segoe UI"/>
                <w:b/>
                <w:kern w:val="0"/>
              </w:rPr>
              <w:t>1.价格分：</w:t>
            </w:r>
          </w:p>
          <w:p>
            <w:pPr>
              <w:widowControl/>
              <w:wordWrap w:val="0"/>
              <w:spacing w:line="270" w:lineRule="atLeast"/>
              <w:jc w:val="left"/>
              <w:rPr>
                <w:rFonts w:hint="default" w:ascii="宋体" w:hAnsi="宋体" w:cs="Segoe UI"/>
                <w:kern w:val="0"/>
                <w:lang w:val="en-US" w:eastAsia="zh-CN"/>
              </w:rPr>
            </w:pPr>
            <w:r>
              <w:rPr>
                <w:rFonts w:hint="eastAsia" w:ascii="宋体" w:hAnsi="宋体" w:cs="Segoe UI"/>
                <w:kern w:val="0"/>
              </w:rPr>
              <w:t>投标材料满足采购文件要求且以报价</w:t>
            </w:r>
            <w:r>
              <w:rPr>
                <w:rFonts w:hint="eastAsia" w:ascii="宋体" w:hAnsi="宋体" w:cs="Segoe UI"/>
                <w:b/>
                <w:kern w:val="0"/>
              </w:rPr>
              <w:t>总价</w:t>
            </w:r>
            <w:r>
              <w:rPr>
                <w:rFonts w:hint="eastAsia" w:ascii="宋体" w:hAnsi="宋体" w:cs="Segoe UI"/>
                <w:kern w:val="0"/>
              </w:rPr>
              <w:t>最低的为</w:t>
            </w:r>
            <w:r>
              <w:rPr>
                <w:rFonts w:hint="eastAsia" w:ascii="宋体" w:hAnsi="宋体" w:cs="Segoe UI"/>
                <w:b/>
                <w:kern w:val="0"/>
              </w:rPr>
              <w:t>评标基准价</w:t>
            </w:r>
            <w:r>
              <w:rPr>
                <w:rFonts w:hint="eastAsia" w:ascii="宋体" w:hAnsi="宋体" w:cs="Segoe UI"/>
                <w:kern w:val="0"/>
              </w:rPr>
              <w:t>，其价格分为</w:t>
            </w:r>
            <w:r>
              <w:rPr>
                <w:rFonts w:hint="eastAsia" w:ascii="宋体" w:hAnsi="宋体" w:cs="Segoe UI"/>
                <w:kern w:val="0"/>
                <w:lang w:val="en-US" w:eastAsia="zh-CN"/>
              </w:rPr>
              <w:t>35</w:t>
            </w:r>
            <w:r>
              <w:rPr>
                <w:rFonts w:hint="eastAsia" w:ascii="宋体" w:hAnsi="宋体" w:cs="Segoe UI"/>
                <w:kern w:val="0"/>
              </w:rPr>
              <w:t>分。其他供应商的价格分统一按照以下公式计算：</w:t>
            </w:r>
            <w:r>
              <w:rPr>
                <w:rFonts w:hint="eastAsia" w:ascii="宋体" w:hAnsi="宋体" w:cs="Segoe UI"/>
                <w:kern w:val="0"/>
                <w:lang w:val="en-US" w:eastAsia="zh-CN"/>
              </w:rPr>
              <w:t>报价得</w:t>
            </w:r>
            <w:r>
              <w:rPr>
                <w:rFonts w:hint="eastAsia" w:ascii="宋体" w:hAnsi="宋体" w:cs="Segoe UI"/>
                <w:kern w:val="0"/>
              </w:rPr>
              <w:t>分=(</w:t>
            </w:r>
            <w:r>
              <w:rPr>
                <w:rFonts w:hint="eastAsia" w:ascii="宋体" w:hAnsi="宋体" w:cs="Segoe UI"/>
                <w:b/>
                <w:kern w:val="0"/>
              </w:rPr>
              <w:t>评标基准价</w:t>
            </w:r>
            <w:r>
              <w:rPr>
                <w:rFonts w:hint="eastAsia" w:ascii="宋体" w:hAnsi="宋体" w:cs="Segoe UI"/>
                <w:kern w:val="0"/>
              </w:rPr>
              <w:t>／报价总价)</w:t>
            </w:r>
            <w:r>
              <w:rPr>
                <w:rFonts w:hint="eastAsia" w:ascii="宋体" w:hAnsi="宋体" w:cs="Segoe UI"/>
                <w:kern w:val="0"/>
                <w:lang w:val="en-US" w:eastAsia="zh-CN"/>
              </w:rPr>
              <w:t>*35</w:t>
            </w:r>
          </w:p>
          <w:p>
            <w:pPr>
              <w:widowControl/>
              <w:wordWrap w:val="0"/>
              <w:spacing w:line="270" w:lineRule="atLeast"/>
              <w:jc w:val="left"/>
              <w:rPr>
                <w:rFonts w:ascii="宋体" w:hAnsi="宋体" w:cs="Segoe UI"/>
                <w:b/>
                <w:kern w:val="0"/>
              </w:rPr>
            </w:pPr>
            <w:r>
              <w:rPr>
                <w:rFonts w:hint="eastAsia" w:ascii="宋体" w:hAnsi="宋体" w:cs="Segoe UI"/>
                <w:b/>
                <w:kern w:val="0"/>
              </w:rPr>
              <w:t>2.报价总价</w:t>
            </w:r>
          </w:p>
          <w:p>
            <w:pPr>
              <w:rPr>
                <w:rFonts w:hint="eastAsia" w:eastAsiaTheme="minorEastAsia"/>
                <w:lang w:val="en-US" w:eastAsia="zh-CN"/>
              </w:rPr>
            </w:pPr>
            <w:r>
              <w:rPr>
                <w:rFonts w:hint="eastAsia" w:asciiTheme="minorEastAsia" w:hAnsiTheme="minorEastAsia" w:eastAsiaTheme="minorEastAsia" w:cstheme="minorEastAsia"/>
                <w:color w:val="auto"/>
                <w:kern w:val="0"/>
              </w:rPr>
              <w:t>报价总价=</w:t>
            </w:r>
            <w:r>
              <w:rPr>
                <w:rFonts w:hint="eastAsia" w:asciiTheme="minorEastAsia" w:hAnsiTheme="minorEastAsia" w:eastAsiaTheme="minorEastAsia" w:cstheme="minorEastAsia"/>
                <w:color w:val="auto"/>
              </w:rPr>
              <w:t>各项材料投标单价</w:t>
            </w: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rPr>
              <w:t>预估年</w:t>
            </w:r>
            <w:r>
              <w:rPr>
                <w:rFonts w:hint="eastAsia" w:asciiTheme="minorEastAsia" w:hAnsiTheme="minorEastAsia" w:eastAsiaTheme="minorEastAsia" w:cstheme="minorEastAsia"/>
                <w:color w:val="auto"/>
                <w:lang w:val="en-US" w:eastAsia="zh-CN"/>
              </w:rPr>
              <w:t>采购数</w:t>
            </w:r>
            <w:r>
              <w:rPr>
                <w:rFonts w:hint="eastAsia" w:asciiTheme="minorEastAsia" w:hAnsiTheme="minorEastAsia" w:eastAsiaTheme="minorEastAsia" w:cstheme="minorEastAsia"/>
                <w:color w:val="auto"/>
              </w:rPr>
              <w:t>量</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kern w:val="0"/>
                <w:szCs w:val="21"/>
              </w:rPr>
              <w:t>若同一品目</w:t>
            </w:r>
            <w:r>
              <w:rPr>
                <w:rFonts w:hint="eastAsia" w:asciiTheme="minorEastAsia" w:hAnsiTheme="minorEastAsia" w:cstheme="minorEastAsia"/>
                <w:color w:val="auto"/>
                <w:kern w:val="0"/>
                <w:szCs w:val="21"/>
                <w:lang w:val="en-US" w:eastAsia="zh-CN"/>
              </w:rPr>
              <w:t>投标</w:t>
            </w:r>
            <w:r>
              <w:rPr>
                <w:rFonts w:hint="eastAsia" w:asciiTheme="minorEastAsia" w:hAnsiTheme="minorEastAsia" w:eastAsiaTheme="minorEastAsia" w:cstheme="minorEastAsia"/>
                <w:color w:val="auto"/>
                <w:kern w:val="0"/>
                <w:szCs w:val="21"/>
              </w:rPr>
              <w:t>产品有细分规格且报价不同</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则按照同品类平均价计算</w:t>
            </w:r>
            <w:r>
              <w:rPr>
                <w:rFonts w:hint="eastAsia" w:asciiTheme="minorEastAsia" w:hAnsiTheme="minorEastAsia" w:eastAsiaTheme="minorEastAsia" w:cstheme="minorEastAsia"/>
                <w:color w:val="auto"/>
                <w:kern w:val="0"/>
                <w:szCs w:val="21"/>
                <w:lang w:val="en-US" w:eastAsia="zh-CN"/>
              </w:rPr>
              <w:t>投标</w:t>
            </w:r>
            <w:r>
              <w:rPr>
                <w:rFonts w:hint="eastAsia" w:asciiTheme="minorEastAsia" w:hAnsiTheme="minorEastAsia" w:eastAsiaTheme="minorEastAsia" w:cstheme="minorEastAsia"/>
                <w:color w:val="auto"/>
                <w:kern w:val="0"/>
                <w:szCs w:val="21"/>
              </w:rPr>
              <w:t>单价</w:t>
            </w:r>
            <w:r>
              <w:rPr>
                <w:rFonts w:hint="eastAsia" w:asciiTheme="minorEastAsia" w:hAnsiTheme="minorEastAsia" w:eastAsiaTheme="minorEastAsia" w:cstheme="minorEastAsia"/>
                <w:color w:val="auto"/>
                <w:lang w:eastAsia="zh-CN"/>
              </w:rPr>
              <w:t>）</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color w:val="auto"/>
              </w:rPr>
            </w:pPr>
            <w:r>
              <w:rPr>
                <w:rFonts w:hint="eastAsia"/>
                <w:color w:val="auto"/>
              </w:rPr>
              <w:t>2</w:t>
            </w:r>
          </w:p>
        </w:tc>
        <w:tc>
          <w:tcPr>
            <w:tcW w:w="984" w:type="dxa"/>
            <w:noWrap/>
            <w:vAlign w:val="center"/>
          </w:tcPr>
          <w:p>
            <w:pPr>
              <w:widowControl/>
              <w:wordWrap w:val="0"/>
              <w:spacing w:line="270" w:lineRule="atLeast"/>
              <w:jc w:val="center"/>
              <w:rPr>
                <w:rFonts w:hint="eastAsia"/>
                <w:color w:val="auto"/>
              </w:rPr>
            </w:pPr>
            <w:r>
              <w:rPr>
                <w:rFonts w:hint="eastAsia"/>
                <w:color w:val="auto"/>
              </w:rPr>
              <w:t>技术</w:t>
            </w:r>
          </w:p>
          <w:p>
            <w:pPr>
              <w:widowControl/>
              <w:wordWrap w:val="0"/>
              <w:spacing w:line="270" w:lineRule="atLeast"/>
              <w:jc w:val="center"/>
              <w:rPr>
                <w:color w:val="auto"/>
              </w:rPr>
            </w:pPr>
            <w:r>
              <w:rPr>
                <w:rFonts w:hint="eastAsia"/>
                <w:color w:val="auto"/>
              </w:rPr>
              <w:t>指标</w:t>
            </w:r>
          </w:p>
          <w:p>
            <w:pPr>
              <w:widowControl/>
              <w:wordWrap w:val="0"/>
              <w:spacing w:line="270" w:lineRule="atLeast"/>
              <w:jc w:val="center"/>
              <w:rPr>
                <w:color w:val="auto"/>
              </w:rPr>
            </w:pPr>
            <w:r>
              <w:rPr>
                <w:rFonts w:hint="eastAsia"/>
                <w:color w:val="auto"/>
                <w:lang w:val="en-US" w:eastAsia="zh-CN"/>
              </w:rPr>
              <w:t>36</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36</w:t>
            </w:r>
            <w:r>
              <w:rPr>
                <w:rFonts w:hint="eastAsia"/>
                <w:color w:val="auto"/>
              </w:rPr>
              <w:t>分</w:t>
            </w:r>
          </w:p>
        </w:tc>
        <w:tc>
          <w:tcPr>
            <w:tcW w:w="6648" w:type="dxa"/>
            <w:noWrap/>
            <w:vAlign w:val="center"/>
          </w:tcPr>
          <w:p>
            <w:pPr>
              <w:widowControl/>
              <w:wordWrap w:val="0"/>
              <w:spacing w:line="270" w:lineRule="atLeast"/>
              <w:jc w:val="left"/>
              <w:rPr>
                <w:color w:val="auto"/>
              </w:rPr>
            </w:pPr>
            <w:r>
              <w:rPr>
                <w:rFonts w:hint="eastAsia"/>
                <w:color w:val="auto"/>
              </w:rPr>
              <w:t>完全满足磋商文件“二、技术参数要求”的要求没有负偏离得</w:t>
            </w:r>
            <w:r>
              <w:rPr>
                <w:rFonts w:hint="eastAsia"/>
                <w:color w:val="auto"/>
                <w:lang w:val="en-US" w:eastAsia="zh-CN"/>
              </w:rPr>
              <w:t>36</w:t>
            </w:r>
            <w:r>
              <w:rPr>
                <w:rFonts w:hint="eastAsia"/>
                <w:color w:val="auto"/>
              </w:rPr>
              <w:t>分。</w:t>
            </w:r>
          </w:p>
          <w:p>
            <w:pPr>
              <w:widowControl/>
              <w:wordWrap w:val="0"/>
              <w:spacing w:line="270" w:lineRule="atLeast"/>
              <w:jc w:val="left"/>
              <w:rPr>
                <w:color w:val="auto"/>
              </w:rPr>
            </w:pPr>
            <w:r>
              <w:rPr>
                <w:rFonts w:hint="eastAsia"/>
                <w:color w:val="auto"/>
                <w:lang w:val="en-US" w:eastAsia="zh-CN"/>
              </w:rPr>
              <w:t>“★”的参数为重要参数</w:t>
            </w:r>
            <w:r>
              <w:rPr>
                <w:rFonts w:hint="eastAsia"/>
                <w:color w:val="auto"/>
              </w:rPr>
              <w:t>（共</w:t>
            </w:r>
            <w:r>
              <w:rPr>
                <w:rFonts w:hint="eastAsia"/>
                <w:color w:val="auto"/>
                <w:lang w:val="en-US" w:eastAsia="zh-CN"/>
              </w:rPr>
              <w:t>6</w:t>
            </w:r>
            <w:r>
              <w:rPr>
                <w:rFonts w:hint="eastAsia"/>
                <w:color w:val="auto"/>
              </w:rPr>
              <w:t>条），每有一条负偏离的扣</w:t>
            </w:r>
            <w:r>
              <w:rPr>
                <w:rFonts w:hint="eastAsia"/>
                <w:color w:val="auto"/>
                <w:lang w:val="en-US" w:eastAsia="zh-CN"/>
              </w:rPr>
              <w:t>4</w:t>
            </w:r>
            <w:r>
              <w:rPr>
                <w:rFonts w:hint="eastAsia"/>
                <w:color w:val="auto"/>
              </w:rPr>
              <w:t>分</w:t>
            </w:r>
            <w:r>
              <w:rPr>
                <w:rFonts w:hint="eastAsia"/>
                <w:color w:val="auto"/>
                <w:lang w:eastAsia="zh-CN"/>
              </w:rPr>
              <w:t>；</w:t>
            </w:r>
            <w:r>
              <w:rPr>
                <w:rFonts w:hint="eastAsia"/>
                <w:color w:val="auto"/>
              </w:rPr>
              <w:t>非“★”非“▲”的参数为一般参数（共</w:t>
            </w:r>
            <w:r>
              <w:rPr>
                <w:rFonts w:hint="eastAsia"/>
                <w:color w:val="auto"/>
                <w:lang w:val="en-US" w:eastAsia="zh-CN"/>
              </w:rPr>
              <w:t>6</w:t>
            </w:r>
            <w:r>
              <w:rPr>
                <w:rFonts w:hint="eastAsia"/>
                <w:color w:val="auto"/>
              </w:rPr>
              <w:t>条），每有一条负偏离的扣</w:t>
            </w:r>
            <w:r>
              <w:rPr>
                <w:rFonts w:hint="eastAsia"/>
                <w:color w:val="auto"/>
                <w:lang w:val="en-US" w:eastAsia="zh-CN"/>
              </w:rPr>
              <w:t>2</w:t>
            </w:r>
            <w:r>
              <w:rPr>
                <w:rFonts w:hint="eastAsia"/>
                <w:color w:val="auto"/>
              </w:rPr>
              <w:t>分，扣完为止。</w:t>
            </w:r>
          </w:p>
        </w:tc>
        <w:tc>
          <w:tcPr>
            <w:tcW w:w="643" w:type="dxa"/>
            <w:noWrap/>
            <w:vAlign w:val="center"/>
          </w:tcPr>
          <w:p>
            <w:pPr>
              <w:widowControl/>
              <w:wordWrap w:val="0"/>
              <w:spacing w:line="270" w:lineRule="atLeast"/>
              <w:jc w:val="left"/>
              <w:rPr>
                <w:color w:val="auto"/>
              </w:rPr>
            </w:pPr>
            <w:r>
              <w:rPr>
                <w:rFonts w:hint="eastAsia"/>
                <w:color w:va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rFonts w:hint="eastAsia" w:cs="Segoe UI" w:asciiTheme="minorEastAsia" w:hAnsiTheme="minorEastAsia" w:eastAsiaTheme="minorEastAsia"/>
                <w:color w:val="auto"/>
                <w:kern w:val="0"/>
                <w:sz w:val="21"/>
                <w:szCs w:val="21"/>
                <w:lang w:val="en-US" w:eastAsia="zh-CN" w:bidi="ar-SA"/>
              </w:rPr>
            </w:pPr>
            <w:r>
              <w:rPr>
                <w:rFonts w:hint="eastAsia" w:cs="Segoe UI" w:asciiTheme="minorEastAsia" w:hAnsiTheme="minorEastAsia"/>
                <w:color w:val="auto"/>
                <w:kern w:val="0"/>
                <w:szCs w:val="21"/>
              </w:rPr>
              <w:t>3</w:t>
            </w:r>
          </w:p>
        </w:tc>
        <w:tc>
          <w:tcPr>
            <w:tcW w:w="984" w:type="dxa"/>
            <w:noWrap/>
            <w:vAlign w:val="center"/>
          </w:tcPr>
          <w:p>
            <w:pPr>
              <w:widowControl/>
              <w:jc w:val="center"/>
              <w:rPr>
                <w:rFonts w:cs="Segoe UI" w:asciiTheme="minorEastAsia" w:hAnsiTheme="minorEastAsia"/>
                <w:color w:val="auto"/>
                <w:kern w:val="0"/>
                <w:szCs w:val="21"/>
              </w:rPr>
            </w:pPr>
            <w:r>
              <w:rPr>
                <w:rFonts w:hint="eastAsia" w:cs="Segoe UI" w:asciiTheme="minorEastAsia" w:hAnsiTheme="minorEastAsia"/>
                <w:color w:val="auto"/>
                <w:kern w:val="0"/>
                <w:szCs w:val="21"/>
              </w:rPr>
              <w:t>样品评分</w:t>
            </w:r>
          </w:p>
          <w:p>
            <w:pPr>
              <w:widowControl/>
              <w:jc w:val="center"/>
              <w:rPr>
                <w:rFonts w:hint="eastAsia" w:cs="Segoe UI" w:asciiTheme="minorEastAsia" w:hAnsiTheme="minorEastAsia" w:eastAsiaTheme="minorEastAsia"/>
                <w:color w:val="auto"/>
                <w:kern w:val="0"/>
                <w:sz w:val="21"/>
                <w:szCs w:val="21"/>
                <w:lang w:val="en-US" w:eastAsia="zh-CN" w:bidi="ar-SA"/>
              </w:rPr>
            </w:pPr>
            <w:r>
              <w:rPr>
                <w:rFonts w:hint="eastAsia" w:cs="Segoe UI" w:asciiTheme="minorEastAsia" w:hAnsiTheme="minorEastAsia"/>
                <w:color w:val="auto"/>
                <w:kern w:val="0"/>
                <w:szCs w:val="21"/>
              </w:rPr>
              <w:t>1</w:t>
            </w:r>
            <w:r>
              <w:rPr>
                <w:rFonts w:hint="eastAsia" w:cs="Segoe UI" w:asciiTheme="minorEastAsia" w:hAnsiTheme="minorEastAsia"/>
                <w:color w:val="auto"/>
                <w:kern w:val="0"/>
                <w:szCs w:val="21"/>
                <w:lang w:val="en-US" w:eastAsia="zh-CN"/>
              </w:rPr>
              <w:t>0</w:t>
            </w:r>
            <w:r>
              <w:rPr>
                <w:rFonts w:hint="eastAsia" w:cs="Segoe UI" w:asciiTheme="minorEastAsia" w:hAnsiTheme="minorEastAsia"/>
                <w:color w:val="auto"/>
                <w:kern w:val="0"/>
                <w:szCs w:val="21"/>
              </w:rPr>
              <w:t>%</w:t>
            </w:r>
          </w:p>
        </w:tc>
        <w:tc>
          <w:tcPr>
            <w:tcW w:w="480" w:type="dxa"/>
            <w:noWrap/>
            <w:vAlign w:val="center"/>
          </w:tcPr>
          <w:p>
            <w:pPr>
              <w:widowControl/>
              <w:numPr>
                <w:ilvl w:val="0"/>
                <w:numId w:val="0"/>
              </w:numPr>
              <w:wordWrap w:val="0"/>
              <w:jc w:val="left"/>
              <w:rPr>
                <w:rFonts w:hint="default"/>
                <w:color w:val="auto"/>
                <w:lang w:val="en-US" w:eastAsia="zh-CN"/>
              </w:rPr>
            </w:pPr>
            <w:r>
              <w:rPr>
                <w:rFonts w:hint="eastAsia"/>
                <w:color w:val="auto"/>
                <w:lang w:val="en-US" w:eastAsia="zh-CN"/>
              </w:rPr>
              <w:t>10分</w:t>
            </w:r>
          </w:p>
        </w:tc>
        <w:tc>
          <w:tcPr>
            <w:tcW w:w="6648" w:type="dxa"/>
            <w:noWrap/>
            <w:vAlign w:val="center"/>
          </w:tcPr>
          <w:p>
            <w:pPr>
              <w:widowControl/>
              <w:numPr>
                <w:ilvl w:val="0"/>
                <w:numId w:val="0"/>
              </w:numPr>
              <w:wordWrap w:val="0"/>
              <w:jc w:val="left"/>
              <w:rPr>
                <w:rFonts w:hint="eastAsia"/>
                <w:color w:val="auto"/>
                <w:lang w:val="en-US" w:eastAsia="zh-CN"/>
              </w:rPr>
            </w:pPr>
            <w:r>
              <w:rPr>
                <w:rFonts w:hint="eastAsia"/>
                <w:color w:val="auto"/>
                <w:lang w:val="en-US" w:eastAsia="zh-CN"/>
              </w:rPr>
              <w:t>提供投标产品样品（普通和呼吸机用两种雾化吸入器样品各1个），根据样品的外观、材质、性能、是否符合临床需求、产品市场信誉度等综合评定，优9-10分；良得6-8分；差得1-5分；</w:t>
            </w:r>
            <w:r>
              <w:rPr>
                <w:rFonts w:hint="eastAsia"/>
                <w:b/>
                <w:bCs/>
                <w:color w:val="auto"/>
                <w:lang w:val="en-US" w:eastAsia="zh-CN"/>
              </w:rPr>
              <w:t>未提供或提供不全本项不得分</w:t>
            </w:r>
            <w:r>
              <w:rPr>
                <w:rFonts w:hint="eastAsia"/>
                <w:color w:val="auto"/>
                <w:lang w:val="en-US" w:eastAsia="zh-CN"/>
              </w:rPr>
              <w:t>。</w:t>
            </w:r>
          </w:p>
          <w:p>
            <w:pPr>
              <w:widowControl/>
              <w:numPr>
                <w:ilvl w:val="0"/>
                <w:numId w:val="0"/>
              </w:numPr>
              <w:wordWrap w:val="0"/>
              <w:jc w:val="left"/>
              <w:rPr>
                <w:rFonts w:hint="default"/>
                <w:color w:val="auto"/>
                <w:lang w:val="en-US" w:eastAsia="zh-CN"/>
              </w:rPr>
            </w:pPr>
            <w:r>
              <w:rPr>
                <w:rFonts w:hint="eastAsia"/>
                <w:b/>
                <w:bCs/>
                <w:color w:val="auto"/>
                <w:lang w:val="en-US" w:eastAsia="zh-CN"/>
              </w:rPr>
              <w:t>注：</w:t>
            </w:r>
            <w:r>
              <w:rPr>
                <w:rFonts w:hint="eastAsia"/>
                <w:color w:val="auto"/>
                <w:lang w:val="en-US" w:eastAsia="zh-CN"/>
              </w:rPr>
              <w:t>要求提供的样品</w:t>
            </w:r>
            <w:r>
              <w:rPr>
                <w:rFonts w:hint="eastAsia"/>
                <w:b/>
                <w:bCs/>
                <w:color w:val="auto"/>
                <w:lang w:val="en-US" w:eastAsia="zh-CN"/>
              </w:rPr>
              <w:t>将品牌LOGO等信息遮住</w:t>
            </w:r>
            <w:r>
              <w:rPr>
                <w:rFonts w:hint="eastAsia"/>
                <w:color w:val="auto"/>
                <w:lang w:val="en-US" w:eastAsia="zh-CN"/>
              </w:rPr>
              <w:t>。（样品品牌信息遮挡不全不得分）</w:t>
            </w:r>
          </w:p>
        </w:tc>
        <w:tc>
          <w:tcPr>
            <w:tcW w:w="643" w:type="dxa"/>
            <w:noWrap/>
            <w:vAlign w:val="center"/>
          </w:tcPr>
          <w:p>
            <w:pPr>
              <w:widowControl/>
              <w:wordWrap w:val="0"/>
              <w:spacing w:line="270" w:lineRule="atLeast"/>
              <w:jc w:val="left"/>
              <w:rPr>
                <w:rFonts w:hint="eastAsia" w:cs="Segoe UI" w:asciiTheme="minorEastAsia" w:hAnsiTheme="minorEastAsia" w:eastAsiaTheme="minorEastAsia"/>
                <w:color w:val="FF0000"/>
                <w:kern w:val="0"/>
                <w:sz w:val="21"/>
                <w:szCs w:val="21"/>
                <w:lang w:val="en-US" w:eastAsia="zh-CN" w:bidi="ar-SA"/>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08" w:type="dxa"/>
            <w:noWrap/>
            <w:vAlign w:val="center"/>
          </w:tcPr>
          <w:p>
            <w:pPr>
              <w:widowControl/>
              <w:wordWrap w:val="0"/>
              <w:spacing w:line="270" w:lineRule="atLeast"/>
              <w:jc w:val="center"/>
              <w:rPr>
                <w:rFonts w:hint="eastAsia" w:eastAsiaTheme="minorEastAsia"/>
                <w:color w:val="auto"/>
                <w:lang w:eastAsia="zh-CN"/>
              </w:rPr>
            </w:pPr>
            <w:r>
              <w:rPr>
                <w:rFonts w:hint="eastAsia"/>
                <w:color w:val="auto"/>
                <w:lang w:val="en-US" w:eastAsia="zh-CN"/>
              </w:rPr>
              <w:t>4</w:t>
            </w:r>
          </w:p>
        </w:tc>
        <w:tc>
          <w:tcPr>
            <w:tcW w:w="984" w:type="dxa"/>
            <w:noWrap/>
            <w:vAlign w:val="center"/>
          </w:tcPr>
          <w:p>
            <w:pPr>
              <w:widowControl/>
              <w:wordWrap w:val="0"/>
              <w:spacing w:line="270" w:lineRule="atLeast"/>
              <w:jc w:val="center"/>
              <w:rPr>
                <w:color w:val="auto"/>
              </w:rPr>
            </w:pPr>
            <w:r>
              <w:rPr>
                <w:rFonts w:hint="eastAsia"/>
                <w:color w:val="auto"/>
              </w:rPr>
              <w:t>供应商能力</w:t>
            </w:r>
          </w:p>
          <w:p>
            <w:pPr>
              <w:widowControl/>
              <w:wordWrap w:val="0"/>
              <w:spacing w:line="270" w:lineRule="atLeast"/>
              <w:jc w:val="center"/>
              <w:rPr>
                <w:color w:val="auto"/>
              </w:rPr>
            </w:pPr>
            <w:r>
              <w:rPr>
                <w:rFonts w:hint="eastAsia"/>
                <w:color w:val="auto"/>
                <w:lang w:val="en-US" w:eastAsia="zh-CN"/>
              </w:rPr>
              <w:t>8</w:t>
            </w:r>
            <w:r>
              <w:rPr>
                <w:rFonts w:hint="eastAsia"/>
                <w:color w:val="auto"/>
              </w:rPr>
              <w:t>%</w:t>
            </w:r>
          </w:p>
        </w:tc>
        <w:tc>
          <w:tcPr>
            <w:tcW w:w="480" w:type="dxa"/>
            <w:noWrap/>
            <w:vAlign w:val="center"/>
          </w:tcPr>
          <w:p>
            <w:pPr>
              <w:wordWrap w:val="0"/>
              <w:spacing w:line="270" w:lineRule="atLeast"/>
              <w:jc w:val="center"/>
              <w:rPr>
                <w:color w:val="auto"/>
              </w:rPr>
            </w:pPr>
            <w:r>
              <w:rPr>
                <w:rFonts w:hint="eastAsia"/>
                <w:color w:val="auto"/>
                <w:lang w:val="en-US" w:eastAsia="zh-CN"/>
              </w:rPr>
              <w:t>8</w:t>
            </w:r>
            <w:r>
              <w:rPr>
                <w:rFonts w:hint="eastAsia"/>
                <w:color w:val="auto"/>
              </w:rPr>
              <w:t>分</w:t>
            </w:r>
          </w:p>
        </w:tc>
        <w:tc>
          <w:tcPr>
            <w:tcW w:w="6648" w:type="dxa"/>
            <w:noWrap/>
            <w:vAlign w:val="center"/>
          </w:tcPr>
          <w:p>
            <w:pPr>
              <w:wordWrap w:val="0"/>
              <w:spacing w:line="270" w:lineRule="atLeast"/>
              <w:jc w:val="left"/>
            </w:pPr>
            <w:r>
              <w:rPr>
                <w:rFonts w:hint="eastAsia"/>
              </w:rPr>
              <w:t>提供投标产品2019年1月1日（含1日）以来国内三甲医院业绩证明，每提供1家业绩证明得</w:t>
            </w:r>
            <w:r>
              <w:rPr>
                <w:rFonts w:hint="eastAsia"/>
                <w:lang w:val="en-US" w:eastAsia="zh-CN"/>
              </w:rPr>
              <w:t>1</w:t>
            </w:r>
            <w:r>
              <w:rPr>
                <w:rFonts w:hint="eastAsia"/>
              </w:rPr>
              <w:t>分，最多得</w:t>
            </w:r>
            <w:r>
              <w:rPr>
                <w:rFonts w:hint="eastAsia"/>
                <w:lang w:val="en-US" w:eastAsia="zh-CN"/>
              </w:rPr>
              <w:t>8</w:t>
            </w:r>
            <w:r>
              <w:rPr>
                <w:rFonts w:hint="eastAsia"/>
              </w:rPr>
              <w:t>分。</w:t>
            </w:r>
          </w:p>
          <w:p>
            <w:pPr>
              <w:rPr>
                <w:rFonts w:hint="default" w:eastAsiaTheme="minorEastAsia"/>
                <w:lang w:val="en-US" w:eastAsia="zh-CN"/>
              </w:rPr>
            </w:pPr>
            <w:r>
              <w:rPr>
                <w:rFonts w:hint="eastAsia"/>
              </w:rPr>
              <w:t>注：提供合同复印件或中标（成交/中选）通知书或发票复印件（若发票复印件上无产品明细则需附销货清单）加盖供应商公章，不提供不得分。</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08" w:type="dxa"/>
            <w:noWrap/>
            <w:vAlign w:val="center"/>
          </w:tcPr>
          <w:p>
            <w:pPr>
              <w:widowControl/>
              <w:wordWrap w:val="0"/>
              <w:spacing w:line="270" w:lineRule="atLeast"/>
              <w:jc w:val="center"/>
              <w:rPr>
                <w:rFonts w:hint="eastAsia" w:eastAsiaTheme="minorEastAsia"/>
                <w:color w:val="auto"/>
                <w:lang w:eastAsia="zh-CN"/>
              </w:rPr>
            </w:pPr>
            <w:r>
              <w:rPr>
                <w:rFonts w:hint="eastAsia"/>
                <w:color w:val="auto"/>
                <w:lang w:val="en-US" w:eastAsia="zh-CN"/>
              </w:rPr>
              <w:t>5</w:t>
            </w:r>
          </w:p>
        </w:tc>
        <w:tc>
          <w:tcPr>
            <w:tcW w:w="984" w:type="dxa"/>
            <w:noWrap/>
            <w:vAlign w:val="center"/>
          </w:tcPr>
          <w:p>
            <w:pPr>
              <w:widowControl/>
              <w:wordWrap w:val="0"/>
              <w:spacing w:line="270" w:lineRule="atLeast"/>
              <w:jc w:val="center"/>
              <w:rPr>
                <w:color w:val="auto"/>
              </w:rPr>
            </w:pPr>
            <w:r>
              <w:rPr>
                <w:rFonts w:hint="eastAsia"/>
                <w:color w:val="auto"/>
              </w:rPr>
              <w:t>售后服务体系</w:t>
            </w:r>
          </w:p>
          <w:p>
            <w:pPr>
              <w:widowControl/>
              <w:wordWrap w:val="0"/>
              <w:spacing w:line="270" w:lineRule="atLeast"/>
              <w:jc w:val="center"/>
              <w:rPr>
                <w:color w:val="auto"/>
              </w:rPr>
            </w:pPr>
            <w:r>
              <w:rPr>
                <w:rFonts w:hint="eastAsia"/>
                <w:color w:val="auto"/>
                <w:lang w:val="en-US" w:eastAsia="zh-CN"/>
              </w:rPr>
              <w:t>11</w:t>
            </w:r>
            <w:r>
              <w:rPr>
                <w:rFonts w:hint="eastAsia"/>
                <w:color w:val="auto"/>
              </w:rPr>
              <w:t>%</w:t>
            </w:r>
          </w:p>
        </w:tc>
        <w:tc>
          <w:tcPr>
            <w:tcW w:w="480" w:type="dxa"/>
            <w:noWrap/>
            <w:vAlign w:val="center"/>
          </w:tcPr>
          <w:p>
            <w:pPr>
              <w:spacing w:line="320" w:lineRule="atLeast"/>
              <w:ind w:left="-105" w:right="-107"/>
              <w:jc w:val="center"/>
              <w:rPr>
                <w:color w:val="auto"/>
              </w:rPr>
            </w:pPr>
            <w:r>
              <w:rPr>
                <w:rFonts w:hint="eastAsia"/>
                <w:color w:val="auto"/>
                <w:lang w:val="en-US" w:eastAsia="zh-CN"/>
              </w:rPr>
              <w:t>11</w:t>
            </w:r>
            <w:r>
              <w:rPr>
                <w:rFonts w:hint="eastAsia"/>
                <w:color w:val="auto"/>
              </w:rPr>
              <w:t>分</w:t>
            </w:r>
          </w:p>
        </w:tc>
        <w:tc>
          <w:tcPr>
            <w:tcW w:w="6648" w:type="dxa"/>
            <w:noWrap/>
            <w:vAlign w:val="center"/>
          </w:tcPr>
          <w:p>
            <w:pPr>
              <w:widowControl/>
              <w:numPr>
                <w:ilvl w:val="0"/>
                <w:numId w:val="4"/>
              </w:numPr>
              <w:wordWrap w:val="0"/>
              <w:jc w:val="left"/>
              <w:rPr>
                <w:rFonts w:hint="default" w:eastAsiaTheme="minorEastAsia"/>
                <w:color w:val="auto"/>
                <w:lang w:val="en-US" w:eastAsia="zh-CN"/>
              </w:rPr>
            </w:pPr>
            <w:r>
              <w:rPr>
                <w:rFonts w:hint="eastAsia"/>
                <w:color w:val="auto"/>
                <w:lang w:val="en-US" w:eastAsia="zh-CN"/>
              </w:rPr>
              <w:t>根据供应商提供的延伸服务方案进行评审，如：能根据医院需求，免费为医院建设雾化中心等。</w:t>
            </w:r>
            <w:r>
              <w:rPr>
                <w:rFonts w:hint="eastAsia" w:ascii="宋体" w:hAnsi="宋体" w:cs="Segoe UI"/>
                <w:color w:val="000000"/>
                <w:kern w:val="0"/>
                <w:lang w:val="en-US" w:eastAsia="zh-CN"/>
              </w:rPr>
              <w:t>方案</w:t>
            </w:r>
            <w:r>
              <w:rPr>
                <w:rFonts w:hint="eastAsia" w:ascii="宋体" w:hAnsi="宋体" w:cs="Segoe UI"/>
                <w:color w:val="000000"/>
                <w:kern w:val="0"/>
              </w:rPr>
              <w:t>完整且描述详细，符合本项目实际情况、有利于项目实施的得</w:t>
            </w:r>
            <w:r>
              <w:rPr>
                <w:rFonts w:hint="eastAsia" w:ascii="宋体" w:hAnsi="宋体" w:cs="Segoe UI"/>
                <w:color w:val="000000"/>
                <w:kern w:val="0"/>
                <w:lang w:val="en-US" w:eastAsia="zh-CN"/>
              </w:rPr>
              <w:t>5</w:t>
            </w:r>
            <w:r>
              <w:rPr>
                <w:rFonts w:hint="eastAsia" w:ascii="宋体" w:hAnsi="宋体" w:cs="Segoe UI"/>
                <w:color w:val="000000"/>
                <w:kern w:val="0"/>
              </w:rPr>
              <w:t>分；每有一项存在</w:t>
            </w:r>
            <w:r>
              <w:rPr>
                <w:rFonts w:hint="eastAsia" w:ascii="宋体" w:hAnsi="宋体" w:cs="Segoe UI"/>
                <w:color w:val="000000"/>
                <w:kern w:val="0"/>
                <w:lang w:val="en-US" w:eastAsia="zh-CN"/>
              </w:rPr>
              <w:t>缺失、</w:t>
            </w:r>
            <w:r>
              <w:rPr>
                <w:rFonts w:hint="eastAsia" w:ascii="宋体" w:hAnsi="宋体" w:cs="Segoe UI"/>
                <w:color w:val="000000"/>
                <w:kern w:val="0"/>
              </w:rPr>
              <w:t>缺陷或漏洞的，且不利于项目实施的扣</w:t>
            </w:r>
            <w:r>
              <w:rPr>
                <w:rFonts w:hint="eastAsia" w:ascii="宋体" w:hAnsi="宋体" w:cs="Segoe UI"/>
                <w:color w:val="000000"/>
                <w:kern w:val="0"/>
                <w:lang w:val="en-US" w:eastAsia="zh-CN"/>
              </w:rPr>
              <w:t>3</w:t>
            </w:r>
            <w:r>
              <w:rPr>
                <w:rFonts w:hint="eastAsia" w:ascii="宋体" w:hAnsi="宋体" w:cs="Segoe UI"/>
                <w:color w:val="000000"/>
                <w:kern w:val="0"/>
              </w:rPr>
              <w:t>分，分值扣完为止。</w:t>
            </w:r>
          </w:p>
          <w:p>
            <w:pPr>
              <w:widowControl/>
              <w:numPr>
                <w:ilvl w:val="0"/>
                <w:numId w:val="4"/>
              </w:numPr>
              <w:wordWrap w:val="0"/>
              <w:ind w:left="0" w:leftChars="0" w:firstLine="0" w:firstLineChars="0"/>
              <w:jc w:val="left"/>
              <w:rPr>
                <w:color w:val="auto"/>
              </w:rPr>
            </w:pPr>
            <w:r>
              <w:rPr>
                <w:rFonts w:hint="eastAsia"/>
                <w:color w:val="auto"/>
              </w:rPr>
              <w:t>根据供应商提供的售后服务方案，包含：①售后服务承诺；②缺货应急方案；③人员培训方案等</w:t>
            </w:r>
            <w:r>
              <w:rPr>
                <w:rFonts w:hint="eastAsia"/>
                <w:color w:val="auto"/>
                <w:lang w:val="en-US" w:eastAsia="zh-CN"/>
              </w:rPr>
              <w:t>三</w:t>
            </w:r>
            <w:r>
              <w:rPr>
                <w:rFonts w:hint="eastAsia"/>
                <w:color w:val="auto"/>
              </w:rPr>
              <w:t>个方面进行评审，</w:t>
            </w:r>
            <w:r>
              <w:rPr>
                <w:rFonts w:hint="eastAsia"/>
                <w:color w:val="auto"/>
                <w:lang w:val="en-US" w:eastAsia="zh-CN"/>
              </w:rPr>
              <w:t>三</w:t>
            </w:r>
            <w:r>
              <w:rPr>
                <w:rFonts w:hint="eastAsia"/>
                <w:color w:val="auto"/>
              </w:rPr>
              <w:t>个方面提供完整且描述详细，符合本项目实际情况、有利于项目实施的得</w:t>
            </w:r>
            <w:r>
              <w:rPr>
                <w:rFonts w:hint="eastAsia"/>
                <w:color w:val="auto"/>
                <w:lang w:val="en-US" w:eastAsia="zh-CN"/>
              </w:rPr>
              <w:t>6</w:t>
            </w:r>
            <w:r>
              <w:rPr>
                <w:rFonts w:hint="eastAsia"/>
                <w:color w:val="auto"/>
              </w:rPr>
              <w:t>分；每缺少一项或提供的方案与本项目无关的扣</w:t>
            </w:r>
            <w:r>
              <w:rPr>
                <w:rFonts w:hint="eastAsia"/>
                <w:color w:val="auto"/>
                <w:lang w:val="en-US" w:eastAsia="zh-CN"/>
              </w:rPr>
              <w:t>2</w:t>
            </w:r>
            <w:r>
              <w:rPr>
                <w:rFonts w:hint="eastAsia"/>
                <w:color w:val="auto"/>
              </w:rPr>
              <w:t>分；方案存在缺陷或不合理（缺陷和不合理是指存在不适用项目实际情况的情形、凭空编造、逻辑漏洞、科学原理错误以及不可能实现的夸大情形等)的扣</w:t>
            </w:r>
            <w:r>
              <w:rPr>
                <w:rFonts w:hint="eastAsia"/>
                <w:color w:val="auto"/>
                <w:lang w:val="en-US" w:eastAsia="zh-CN"/>
              </w:rPr>
              <w:t>1</w:t>
            </w:r>
            <w:r>
              <w:rPr>
                <w:rFonts w:hint="eastAsia"/>
                <w:color w:val="auto"/>
              </w:rPr>
              <w:t>分，分值扣完为止。</w:t>
            </w:r>
          </w:p>
        </w:tc>
        <w:tc>
          <w:tcPr>
            <w:tcW w:w="643" w:type="dxa"/>
            <w:noWrap/>
            <w:vAlign w:val="center"/>
          </w:tcPr>
          <w:p>
            <w:pPr>
              <w:widowControl/>
              <w:wordWrap w:val="0"/>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163" w:type="dxa"/>
            <w:gridSpan w:val="5"/>
            <w:noWrap/>
            <w:vAlign w:val="center"/>
          </w:tcPr>
          <w:p>
            <w:pPr>
              <w:widowControl/>
              <w:wordWrap w:val="0"/>
              <w:jc w:val="left"/>
              <w:rPr>
                <w:color w:val="auto"/>
              </w:rPr>
            </w:pPr>
            <w:r>
              <w:rPr>
                <w:rFonts w:hint="eastAsia"/>
                <w:color w:val="auto"/>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4</w:t>
      </w:r>
      <w:r>
        <w:rPr>
          <w:rFonts w:hint="eastAsia" w:ascii="仿宋_GB2312" w:hAnsi="Segoe UI" w:eastAsia="仿宋_GB2312" w:cs="Segoe UI"/>
          <w:color w:val="000000" w:themeColor="text1"/>
          <w:spacing w:val="8"/>
          <w:kern w:val="0"/>
          <w:sz w:val="24"/>
          <w:szCs w:val="24"/>
        </w:rPr>
        <w:t>）</w:t>
      </w:r>
    </w:p>
    <w:p>
      <w:pPr>
        <w:widowControl/>
        <w:shd w:val="clear" w:color="auto" w:fill="FFFFFF"/>
        <w:wordWrap w:val="0"/>
        <w:ind w:firstLine="512"/>
        <w:jc w:val="left"/>
        <w:rPr>
          <w:rFonts w:hint="eastAsia"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w:t>
      </w:r>
      <w:r>
        <w:rPr>
          <w:rFonts w:hint="eastAsia" w:ascii="仿宋_GB2312" w:hAnsi="Segoe UI" w:eastAsia="仿宋_GB2312" w:cs="Segoe UI"/>
          <w:color w:val="000000" w:themeColor="text1"/>
          <w:spacing w:val="8"/>
          <w:kern w:val="0"/>
          <w:sz w:val="24"/>
          <w:szCs w:val="24"/>
          <w:lang w:val="en-US" w:eastAsia="zh-CN"/>
        </w:rPr>
        <w:t>4</w:t>
      </w:r>
      <w:r>
        <w:rPr>
          <w:rFonts w:hint="eastAsia" w:ascii="仿宋_GB2312" w:hAnsi="Segoe UI" w:eastAsia="仿宋_GB2312" w:cs="Segoe UI"/>
          <w:color w:val="000000" w:themeColor="text1"/>
          <w:spacing w:val="8"/>
          <w:kern w:val="0"/>
          <w:sz w:val="24"/>
          <w:szCs w:val="24"/>
        </w:rPr>
        <w:t>）</w:t>
      </w:r>
    </w:p>
    <w:p>
      <w:pPr>
        <w:widowControl/>
        <w:shd w:val="clear" w:color="auto" w:fill="FFFFFF"/>
        <w:wordWrap w:val="0"/>
        <w:ind w:firstLine="512"/>
        <w:jc w:val="left"/>
        <w:rPr>
          <w:rFonts w:hint="default" w:ascii="仿宋_GB2312" w:hAnsi="Segoe UI" w:eastAsia="仿宋_GB2312" w:cs="Segoe UI"/>
          <w:color w:val="auto"/>
          <w:spacing w:val="8"/>
          <w:kern w:val="0"/>
          <w:sz w:val="24"/>
          <w:szCs w:val="24"/>
          <w:lang w:val="en-US" w:eastAsia="zh-CN"/>
        </w:rPr>
      </w:pPr>
      <w:r>
        <w:rPr>
          <w:rFonts w:hint="eastAsia" w:ascii="仿宋_GB2312" w:hAnsi="Segoe UI" w:eastAsia="仿宋_GB2312" w:cs="Segoe UI"/>
          <w:color w:val="auto"/>
          <w:spacing w:val="8"/>
          <w:kern w:val="0"/>
          <w:sz w:val="24"/>
          <w:szCs w:val="24"/>
          <w:lang w:val="en-US" w:eastAsia="zh-CN"/>
        </w:rPr>
        <w:t>5、承诺函（格式见附件4）</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lang w:val="en-US" w:eastAsia="zh-CN"/>
        </w:rPr>
        <w:t>6</w:t>
      </w:r>
      <w:r>
        <w:rPr>
          <w:rFonts w:hint="eastAsia" w:ascii="仿宋_GB2312" w:hAnsi="Segoe UI" w:eastAsia="仿宋_GB2312" w:cs="Segoe UI"/>
          <w:color w:val="000000" w:themeColor="text1"/>
          <w:spacing w:val="8"/>
          <w:kern w:val="0"/>
          <w:sz w:val="24"/>
          <w:szCs w:val="24"/>
        </w:rPr>
        <w:t>、企业营业执照（复印件）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lang w:val="en-US" w:eastAsia="zh-CN"/>
        </w:rPr>
        <w:t>7</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、法定代表人授权书（原件，格式见附件</w:t>
      </w: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rPr>
        <w:t>）暨经办人授权书，法定代表人、经办人身份证（复印件）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10</w:t>
      </w:r>
      <w:r>
        <w:rPr>
          <w:rFonts w:hint="eastAsia" w:ascii="仿宋_GB2312" w:hAnsi="Segoe UI" w:eastAsia="仿宋_GB2312" w:cs="Segoe UI"/>
          <w:color w:val="000000" w:themeColor="text1"/>
          <w:kern w:val="0"/>
          <w:sz w:val="24"/>
          <w:szCs w:val="24"/>
        </w:rPr>
        <w:t>、如是医疗器械，须提供“中华人民共和国医疗器械生产企业许可证”和“中华人民共和国医疗器械经营企业许可证”（复印件）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w:t>
      </w:r>
      <w:r>
        <w:rPr>
          <w:rFonts w:hint="eastAsia" w:ascii="仿宋_GB2312" w:hAnsi="Segoe UI" w:eastAsia="仿宋_GB2312" w:cs="Segoe UI"/>
          <w:color w:val="000000" w:themeColor="text1"/>
          <w:kern w:val="0"/>
          <w:sz w:val="24"/>
          <w:szCs w:val="24"/>
          <w:lang w:val="en-US" w:eastAsia="zh-CN"/>
        </w:rPr>
        <w:t>1</w:t>
      </w:r>
      <w:r>
        <w:rPr>
          <w:rFonts w:hint="eastAsia" w:ascii="仿宋_GB2312" w:hAnsi="Segoe UI" w:eastAsia="仿宋_GB2312" w:cs="Segoe UI"/>
          <w:color w:val="000000" w:themeColor="text1"/>
          <w:kern w:val="0"/>
          <w:sz w:val="24"/>
          <w:szCs w:val="24"/>
        </w:rPr>
        <w:t>、如是医疗器械，须提供“医疗器械产品注册证和注册登记表”（复印件）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w:t>
      </w:r>
      <w:r>
        <w:rPr>
          <w:rFonts w:hint="eastAsia" w:ascii="仿宋_GB2312" w:hAnsi="Segoe UI" w:eastAsia="仿宋_GB2312" w:cs="Segoe UI"/>
          <w:color w:val="000000" w:themeColor="text1"/>
          <w:kern w:val="0"/>
          <w:sz w:val="24"/>
          <w:szCs w:val="24"/>
          <w:lang w:val="en-US" w:eastAsia="zh-CN"/>
        </w:rPr>
        <w:t>2</w:t>
      </w:r>
      <w:r>
        <w:rPr>
          <w:rFonts w:hint="eastAsia" w:ascii="仿宋_GB2312" w:hAnsi="Segoe UI" w:eastAsia="仿宋_GB2312" w:cs="Segoe UI"/>
          <w:color w:val="000000" w:themeColor="text1"/>
          <w:kern w:val="0"/>
          <w:sz w:val="24"/>
          <w:szCs w:val="24"/>
        </w:rPr>
        <w:t>、如有产品质量和企业管理体系认证（考核），请提供的有效证明文件的复印或扫描件，质量管理体系认证包括FDA、CE、ISO等认证（提供中文翻译复印件）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w:t>
      </w: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rPr>
        <w:t>、如有其他证书：产品在技术、节能、安全、环保和自主创新方面获得的认证证书或制造厂家和产品所获国家级荣誉称号等复印或扫描件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w:t>
      </w:r>
      <w:r>
        <w:rPr>
          <w:rFonts w:hint="eastAsia" w:ascii="仿宋_GB2312" w:hAnsi="Segoe UI" w:eastAsia="仿宋_GB2312" w:cs="Segoe UI"/>
          <w:color w:val="000000" w:themeColor="text1"/>
          <w:spacing w:val="8"/>
          <w:kern w:val="0"/>
          <w:sz w:val="24"/>
          <w:szCs w:val="24"/>
          <w:lang w:val="en-US" w:eastAsia="zh-CN"/>
        </w:rPr>
        <w:t>7</w:t>
      </w:r>
      <w:r>
        <w:rPr>
          <w:rFonts w:hint="eastAsia" w:ascii="仿宋_GB2312" w:hAnsi="Segoe UI" w:eastAsia="仿宋_GB2312" w:cs="Segoe UI"/>
          <w:color w:val="000000" w:themeColor="text1"/>
          <w:spacing w:val="8"/>
          <w:kern w:val="0"/>
          <w:sz w:val="24"/>
          <w:szCs w:val="24"/>
        </w:rPr>
        <w:t>、售后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w:t>
      </w:r>
      <w:r>
        <w:rPr>
          <w:rFonts w:hint="eastAsia" w:ascii="仿宋_GB2312" w:hAnsi="Segoe UI" w:eastAsia="仿宋_GB2312" w:cs="Segoe UI"/>
          <w:color w:val="000000" w:themeColor="text1"/>
          <w:spacing w:val="8"/>
          <w:kern w:val="0"/>
          <w:sz w:val="24"/>
          <w:szCs w:val="24"/>
          <w:lang w:val="en-US" w:eastAsia="zh-CN"/>
        </w:rPr>
        <w:t>8</w:t>
      </w:r>
      <w:r>
        <w:rPr>
          <w:rFonts w:hint="eastAsia" w:ascii="仿宋_GB2312" w:hAnsi="Segoe UI" w:eastAsia="仿宋_GB2312" w:cs="Segoe UI"/>
          <w:color w:val="000000" w:themeColor="text1"/>
          <w:spacing w:val="8"/>
          <w:kern w:val="0"/>
          <w:sz w:val="24"/>
          <w:szCs w:val="24"/>
        </w:rPr>
        <w:t>、如有，提供进口原材料证明书或产品报关资料等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w:t>
      </w:r>
      <w:r>
        <w:rPr>
          <w:rFonts w:hint="eastAsia" w:ascii="仿宋_GB2312" w:hAnsi="Segoe UI" w:eastAsia="仿宋_GB2312" w:cs="Segoe UI"/>
          <w:color w:val="000000" w:themeColor="text1"/>
          <w:spacing w:val="8"/>
          <w:kern w:val="0"/>
          <w:sz w:val="24"/>
          <w:szCs w:val="24"/>
          <w:lang w:val="en-US" w:eastAsia="zh-CN"/>
        </w:rPr>
        <w:t>9</w:t>
      </w:r>
      <w:r>
        <w:rPr>
          <w:rFonts w:hint="eastAsia" w:ascii="仿宋_GB2312" w:hAnsi="Segoe UI" w:eastAsia="仿宋_GB2312" w:cs="Segoe UI"/>
          <w:color w:val="000000" w:themeColor="text1"/>
          <w:spacing w:val="8"/>
          <w:kern w:val="0"/>
          <w:sz w:val="24"/>
          <w:szCs w:val="24"/>
        </w:rPr>
        <w:t>、产品说明书或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20</w:t>
      </w:r>
      <w:r>
        <w:rPr>
          <w:rFonts w:hint="eastAsia" w:ascii="仿宋_GB2312" w:hAnsi="Segoe UI" w:eastAsia="仿宋_GB2312" w:cs="Segoe UI"/>
          <w:color w:val="000000" w:themeColor="text1"/>
          <w:kern w:val="0"/>
          <w:sz w:val="24"/>
          <w:szCs w:val="24"/>
        </w:rPr>
        <w:t>、业绩证明文件（用户名单及联系人与联系方式，格式见附件</w:t>
      </w: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rPr>
        <w:t>），并提供相应证明文件，要求见评分办法“业绩”说明。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1</w:t>
      </w:r>
      <w:r>
        <w:rPr>
          <w:rFonts w:hint="eastAsia" w:ascii="仿宋_GB2312" w:hAnsi="Segoe UI" w:eastAsia="仿宋_GB2312" w:cs="Segoe UI"/>
          <w:color w:val="000000" w:themeColor="text1"/>
          <w:kern w:val="0"/>
          <w:sz w:val="24"/>
          <w:szCs w:val="24"/>
        </w:rPr>
        <w:t>、如有，国家规定的其它相关资质证明文件或其它涉及特许经营许可的须提供相关证书。如：卫生许可证、药品经营许可证、生产批件或新药证书等；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2</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fill="FFFFFF"/>
        <w:wordWrap w:val="0"/>
        <w:jc w:val="left"/>
        <w:rPr>
          <w:rFonts w:ascii="Segoe UI" w:hAnsi="Segoe UI" w:eastAsia="宋体" w:cs="Segoe UI"/>
          <w:color w:val="000000" w:themeColor="text1"/>
          <w:kern w:val="0"/>
          <w:sz w:val="18"/>
          <w:szCs w:val="18"/>
        </w:rPr>
      </w:pP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lang w:val="en-US" w:eastAsia="zh-CN"/>
        </w:rPr>
        <w:t>技术要求</w:t>
      </w: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lang w:val="en-US" w:eastAsia="zh-CN"/>
        </w:rPr>
        <w:t>服务和商务要求</w:t>
      </w: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hint="eastAsia" w:ascii="宋体" w:hAnsi="宋体" w:eastAsia="宋体" w:cs="宋体"/>
                <w:color w:val="000000" w:themeColor="text1"/>
                <w:kern w:val="0"/>
                <w:sz w:val="24"/>
                <w:szCs w:val="24"/>
              </w:rPr>
            </w:pP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p>
    <w:p>
      <w:pPr>
        <w:pStyle w:val="2"/>
        <w:tabs>
          <w:tab w:val="left" w:pos="720"/>
        </w:tabs>
        <w:spacing w:line="400" w:lineRule="exact"/>
        <w:jc w:val="center"/>
        <w:rPr>
          <w:rFonts w:hint="eastAsia" w:ascii="仿宋" w:hAnsi="仿宋" w:eastAsia="仿宋" w:cs="仿宋"/>
        </w:rPr>
      </w:pPr>
      <w:bookmarkStart w:id="2" w:name="_Toc21676"/>
      <w:bookmarkStart w:id="3" w:name="_Toc9234"/>
      <w:bookmarkStart w:id="4" w:name="_Toc3414"/>
      <w:bookmarkStart w:id="5" w:name="_Toc21163"/>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default" w:ascii="仿宋" w:hAnsi="仿宋" w:eastAsia="仿宋" w:cs="仿宋"/>
          <w:sz w:val="22"/>
          <w:szCs w:val="22"/>
          <w:lang w:val="en-US" w:eastAsia="zh-CN"/>
        </w:rPr>
      </w:pPr>
      <w:bookmarkStart w:id="7" w:name="_Toc10689"/>
      <w:bookmarkStart w:id="8" w:name="_Toc30494"/>
      <w:bookmarkStart w:id="9" w:name="_Toc60"/>
      <w:bookmarkStart w:id="10" w:name="_Toc12490"/>
      <w:bookmarkStart w:id="11" w:name="_Toc11076"/>
      <w:bookmarkStart w:id="12" w:name="_Toc5208"/>
      <w:bookmarkStart w:id="13" w:name="_Toc30275"/>
      <w:bookmarkStart w:id="14" w:name="_Toc14802"/>
      <w:bookmarkStart w:id="15" w:name="_Toc5499"/>
      <w:r>
        <w:rPr>
          <w:rFonts w:hint="eastAsia" w:ascii="仿宋" w:hAnsi="仿宋" w:eastAsia="仿宋" w:cs="仿宋"/>
          <w:sz w:val="22"/>
          <w:szCs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szCs w:val="22"/>
          <w:u w:val="single"/>
          <w:lang w:val="en-US" w:eastAsia="zh-CN"/>
        </w:rPr>
        <w:t>四川省妇幼保健院</w:t>
      </w:r>
    </w:p>
    <w:p>
      <w:pPr>
        <w:spacing w:line="360" w:lineRule="auto"/>
        <w:ind w:firstLine="440" w:firstLineChars="200"/>
        <w:outlineLvl w:val="1"/>
        <w:rPr>
          <w:rFonts w:hint="eastAsia" w:ascii="仿宋" w:hAnsi="仿宋" w:eastAsia="仿宋" w:cs="仿宋"/>
          <w:sz w:val="22"/>
          <w:szCs w:val="22"/>
        </w:rPr>
      </w:pPr>
      <w:bookmarkStart w:id="16" w:name="_Toc10948"/>
      <w:bookmarkStart w:id="17" w:name="_Toc30724"/>
      <w:bookmarkStart w:id="18" w:name="_Toc7067"/>
      <w:bookmarkStart w:id="19" w:name="_Toc13021"/>
      <w:bookmarkStart w:id="20" w:name="_Toc9131"/>
      <w:bookmarkStart w:id="21" w:name="_Toc3912"/>
      <w:bookmarkStart w:id="22" w:name="_Toc3081"/>
      <w:bookmarkStart w:id="23" w:name="_Toc32214"/>
      <w:bookmarkStart w:id="24" w:name="_Toc28103"/>
      <w:bookmarkStart w:id="25" w:name="_Toc10183"/>
      <w:bookmarkStart w:id="26" w:name="_Toc26481"/>
      <w:bookmarkStart w:id="27" w:name="_Toc8717"/>
      <w:bookmarkStart w:id="28" w:name="_Toc3447"/>
      <w:bookmarkStart w:id="29" w:name="_Toc18513"/>
      <w:bookmarkStart w:id="30" w:name="_Toc30080"/>
      <w:bookmarkStart w:id="31" w:name="_Toc3392"/>
      <w:bookmarkStart w:id="32" w:name="_Toc18879"/>
      <w:bookmarkStart w:id="33" w:name="_Toc19115"/>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szCs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szCs w:val="22"/>
        </w:rPr>
      </w:pPr>
      <w:bookmarkStart w:id="34" w:name="_Toc15196"/>
      <w:bookmarkStart w:id="35" w:name="_Toc7249"/>
      <w:bookmarkStart w:id="36" w:name="_Toc22795"/>
      <w:bookmarkStart w:id="37" w:name="_Toc30649"/>
      <w:bookmarkStart w:id="38" w:name="_Toc9042"/>
      <w:bookmarkStart w:id="39" w:name="_Toc10142"/>
      <w:bookmarkStart w:id="40" w:name="_Toc18259"/>
      <w:bookmarkStart w:id="41" w:name="_Toc30920"/>
      <w:bookmarkStart w:id="42" w:name="_Toc23645"/>
      <w:bookmarkStart w:id="43" w:name="_Toc23557"/>
      <w:bookmarkStart w:id="44" w:name="_Toc14004"/>
      <w:r>
        <w:rPr>
          <w:rFonts w:hint="eastAsia" w:ascii="仿宋" w:hAnsi="仿宋" w:eastAsia="仿宋" w:cs="仿宋"/>
          <w:sz w:val="22"/>
          <w:szCs w:val="22"/>
        </w:rPr>
        <w:t>（1）我公司</w:t>
      </w:r>
      <w:r>
        <w:rPr>
          <w:rFonts w:hint="eastAsia" w:ascii="仿宋" w:hAnsi="仿宋" w:eastAsia="仿宋" w:cs="仿宋"/>
          <w:b/>
          <w:sz w:val="22"/>
          <w:szCs w:val="22"/>
          <w:u w:val="single"/>
        </w:rPr>
        <w:t>（说明：填写“具有”或“不具有”</w:t>
      </w:r>
      <w:r>
        <w:rPr>
          <w:rFonts w:hint="eastAsia" w:ascii="仿宋" w:hAnsi="仿宋" w:eastAsia="仿宋" w:cs="仿宋"/>
          <w:sz w:val="22"/>
          <w:szCs w:val="22"/>
          <w:u w:val="single"/>
        </w:rPr>
        <w:t>）</w:t>
      </w:r>
      <w:r>
        <w:rPr>
          <w:rFonts w:hint="eastAsia" w:ascii="仿宋" w:hAnsi="仿宋" w:eastAsia="仿宋" w:cs="仿宋"/>
          <w:sz w:val="22"/>
          <w:szCs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szCs w:val="22"/>
        </w:rPr>
      </w:pPr>
      <w:bookmarkStart w:id="45" w:name="_Toc30083"/>
      <w:bookmarkStart w:id="46" w:name="_Toc3004"/>
      <w:bookmarkStart w:id="47" w:name="_Toc25516"/>
      <w:bookmarkStart w:id="48" w:name="_Toc26548"/>
      <w:bookmarkStart w:id="49" w:name="_Toc4775"/>
      <w:bookmarkStart w:id="50" w:name="_Toc19600"/>
      <w:bookmarkStart w:id="51" w:name="_Toc24117"/>
      <w:bookmarkStart w:id="52" w:name="_Toc3534"/>
      <w:bookmarkStart w:id="53" w:name="_Toc21988"/>
      <w:r>
        <w:rPr>
          <w:rFonts w:hint="eastAsia" w:ascii="仿宋" w:hAnsi="仿宋" w:eastAsia="仿宋" w:cs="仿宋"/>
          <w:sz w:val="22"/>
          <w:szCs w:val="22"/>
        </w:rPr>
        <w:t>（2）我公司</w:t>
      </w:r>
      <w:r>
        <w:rPr>
          <w:rFonts w:hint="eastAsia" w:ascii="仿宋" w:hAnsi="仿宋" w:eastAsia="仿宋" w:cs="仿宋"/>
          <w:b/>
          <w:sz w:val="22"/>
          <w:szCs w:val="22"/>
          <w:u w:val="single"/>
        </w:rPr>
        <w:t>（说明：填写“具备”或“不具备”</w:t>
      </w:r>
      <w:r>
        <w:rPr>
          <w:rFonts w:hint="eastAsia" w:ascii="仿宋" w:hAnsi="仿宋" w:eastAsia="仿宋" w:cs="仿宋"/>
          <w:sz w:val="22"/>
          <w:szCs w:val="22"/>
          <w:u w:val="single"/>
        </w:rPr>
        <w:t>）</w:t>
      </w:r>
      <w:r>
        <w:rPr>
          <w:rFonts w:hint="eastAsia" w:ascii="仿宋" w:hAnsi="仿宋" w:eastAsia="仿宋" w:cs="仿宋"/>
          <w:sz w:val="22"/>
          <w:szCs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szCs w:val="22"/>
        </w:rPr>
      </w:pPr>
      <w:bookmarkStart w:id="54" w:name="_Toc27376"/>
      <w:bookmarkStart w:id="55" w:name="_Toc22198"/>
      <w:bookmarkStart w:id="56" w:name="_Toc691"/>
      <w:bookmarkStart w:id="57" w:name="_Toc12333"/>
      <w:bookmarkStart w:id="58" w:name="_Toc32166"/>
      <w:bookmarkStart w:id="59" w:name="_Toc16764"/>
      <w:bookmarkStart w:id="60" w:name="_Toc14887"/>
      <w:bookmarkStart w:id="61" w:name="_Toc3494"/>
      <w:bookmarkStart w:id="62" w:name="_Toc16666"/>
      <w:bookmarkStart w:id="63" w:name="_Toc23192"/>
      <w:bookmarkStart w:id="64" w:name="_Toc21982"/>
      <w:r>
        <w:rPr>
          <w:rFonts w:hint="eastAsia" w:ascii="仿宋" w:hAnsi="仿宋" w:eastAsia="仿宋" w:cs="仿宋"/>
          <w:sz w:val="22"/>
          <w:szCs w:val="22"/>
        </w:rPr>
        <w:t>（3）我公司</w:t>
      </w:r>
      <w:r>
        <w:rPr>
          <w:rFonts w:hint="eastAsia" w:ascii="仿宋" w:hAnsi="仿宋" w:eastAsia="仿宋" w:cs="仿宋"/>
          <w:b/>
          <w:sz w:val="22"/>
          <w:szCs w:val="22"/>
          <w:u w:val="single"/>
        </w:rPr>
        <w:t>（说明：填写“具备”或“不具备”</w:t>
      </w:r>
      <w:r>
        <w:rPr>
          <w:rFonts w:hint="eastAsia" w:ascii="仿宋" w:hAnsi="仿宋" w:eastAsia="仿宋" w:cs="仿宋"/>
          <w:sz w:val="22"/>
          <w:szCs w:val="22"/>
          <w:u w:val="single"/>
        </w:rPr>
        <w:t>）</w:t>
      </w:r>
      <w:r>
        <w:rPr>
          <w:rFonts w:hint="eastAsia" w:ascii="仿宋" w:hAnsi="仿宋" w:eastAsia="仿宋" w:cs="仿宋"/>
          <w:sz w:val="22"/>
          <w:szCs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szCs w:val="22"/>
        </w:rPr>
      </w:pPr>
      <w:bookmarkStart w:id="65" w:name="_Toc5412"/>
      <w:bookmarkStart w:id="66" w:name="_Toc14269"/>
      <w:bookmarkStart w:id="67" w:name="_Toc22606"/>
      <w:bookmarkStart w:id="68" w:name="_Toc25068"/>
      <w:bookmarkStart w:id="69" w:name="_Toc1371"/>
      <w:bookmarkStart w:id="70" w:name="_Toc11914"/>
      <w:bookmarkStart w:id="71" w:name="_Toc4577"/>
      <w:bookmarkStart w:id="72" w:name="_Toc31581"/>
      <w:bookmarkStart w:id="73" w:name="_Toc3943"/>
      <w:bookmarkStart w:id="74" w:name="_Toc10013"/>
      <w:bookmarkStart w:id="75" w:name="_Toc9263"/>
      <w:r>
        <w:rPr>
          <w:rFonts w:hint="eastAsia" w:ascii="仿宋" w:hAnsi="仿宋" w:eastAsia="仿宋" w:cs="仿宋"/>
          <w:sz w:val="22"/>
          <w:szCs w:val="22"/>
        </w:rPr>
        <w:t>（4）我公司</w:t>
      </w:r>
      <w:r>
        <w:rPr>
          <w:rFonts w:hint="eastAsia" w:ascii="仿宋" w:hAnsi="仿宋" w:eastAsia="仿宋" w:cs="仿宋"/>
          <w:b/>
          <w:sz w:val="22"/>
          <w:szCs w:val="22"/>
          <w:u w:val="single"/>
        </w:rPr>
        <w:t>（说明：填写“具有”或“不具有”</w:t>
      </w:r>
      <w:r>
        <w:rPr>
          <w:rFonts w:hint="eastAsia" w:ascii="仿宋" w:hAnsi="仿宋" w:eastAsia="仿宋" w:cs="仿宋"/>
          <w:sz w:val="22"/>
          <w:szCs w:val="22"/>
          <w:u w:val="single"/>
        </w:rPr>
        <w:t>）</w:t>
      </w:r>
      <w:r>
        <w:rPr>
          <w:rFonts w:hint="eastAsia" w:ascii="仿宋" w:hAnsi="仿宋" w:eastAsia="仿宋" w:cs="仿宋"/>
          <w:sz w:val="22"/>
          <w:szCs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szCs w:val="22"/>
        </w:rPr>
      </w:pPr>
      <w:bookmarkStart w:id="76" w:name="_Toc17108"/>
      <w:bookmarkStart w:id="77" w:name="_Toc13677"/>
      <w:bookmarkStart w:id="78" w:name="_Toc2937"/>
      <w:bookmarkStart w:id="79" w:name="_Toc13267"/>
      <w:bookmarkStart w:id="80" w:name="_Toc29190"/>
      <w:bookmarkStart w:id="81" w:name="_Toc18935"/>
      <w:bookmarkStart w:id="82" w:name="_Toc11489"/>
      <w:bookmarkStart w:id="83" w:name="_Toc3908"/>
      <w:bookmarkStart w:id="84" w:name="_Toc2316"/>
      <w:bookmarkStart w:id="85" w:name="_Toc31890"/>
      <w:bookmarkStart w:id="86" w:name="_Toc10600"/>
      <w:r>
        <w:rPr>
          <w:rFonts w:hint="eastAsia" w:ascii="仿宋" w:hAnsi="仿宋" w:eastAsia="仿宋" w:cs="仿宋"/>
          <w:sz w:val="22"/>
          <w:szCs w:val="22"/>
        </w:rPr>
        <w:t>（5）参加本次采购活动前三年内，我公司在经营活动中</w:t>
      </w:r>
      <w:r>
        <w:rPr>
          <w:rFonts w:hint="eastAsia" w:ascii="仿宋" w:hAnsi="仿宋" w:eastAsia="仿宋" w:cs="仿宋"/>
          <w:b/>
          <w:sz w:val="22"/>
          <w:szCs w:val="22"/>
          <w:u w:val="single"/>
        </w:rPr>
        <w:t>（说明：填写“没有”或“有”）</w:t>
      </w:r>
      <w:r>
        <w:rPr>
          <w:rFonts w:hint="eastAsia" w:ascii="仿宋" w:hAnsi="仿宋" w:eastAsia="仿宋" w:cs="仿宋"/>
          <w:sz w:val="22"/>
          <w:szCs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szCs w:val="22"/>
        </w:rPr>
      </w:pPr>
      <w:r>
        <w:rPr>
          <w:rFonts w:hint="eastAsia" w:ascii="仿宋" w:hAnsi="仿宋" w:eastAsia="仿宋" w:cs="仿宋"/>
          <w:sz w:val="22"/>
          <w:szCs w:val="22"/>
        </w:rPr>
        <w:t>（6）我公司</w:t>
      </w:r>
      <w:r>
        <w:rPr>
          <w:rFonts w:hint="eastAsia" w:ascii="仿宋" w:hAnsi="仿宋" w:eastAsia="仿宋" w:cs="仿宋"/>
          <w:b/>
          <w:sz w:val="22"/>
          <w:szCs w:val="22"/>
          <w:u w:val="single"/>
        </w:rPr>
        <w:t>（说明：填写“具有”或“不具有”</w:t>
      </w:r>
      <w:r>
        <w:rPr>
          <w:rFonts w:hint="eastAsia" w:ascii="仿宋" w:hAnsi="仿宋" w:eastAsia="仿宋" w:cs="仿宋"/>
          <w:sz w:val="22"/>
          <w:szCs w:val="22"/>
          <w:u w:val="single"/>
        </w:rPr>
        <w:t>）</w:t>
      </w:r>
      <w:r>
        <w:rPr>
          <w:rFonts w:hint="eastAsia" w:ascii="仿宋" w:hAnsi="仿宋" w:eastAsia="仿宋" w:cs="仿宋"/>
          <w:sz w:val="22"/>
          <w:szCs w:val="22"/>
        </w:rPr>
        <w:t>法律、行政法规规定的其他条件</w:t>
      </w:r>
      <w:r>
        <w:rPr>
          <w:rFonts w:hint="eastAsia" w:ascii="仿宋" w:hAnsi="仿宋" w:eastAsia="仿宋" w:cs="仿宋"/>
          <w:color w:val="000000"/>
          <w:sz w:val="22"/>
          <w:szCs w:val="22"/>
        </w:rPr>
        <w:t>（本项目无法律、</w:t>
      </w:r>
      <w:r>
        <w:rPr>
          <w:rFonts w:hint="eastAsia" w:ascii="仿宋" w:hAnsi="仿宋" w:eastAsia="仿宋" w:cs="仿宋"/>
          <w:sz w:val="22"/>
          <w:szCs w:val="22"/>
        </w:rPr>
        <w:t>行政法规规定的其他条件）；</w:t>
      </w:r>
    </w:p>
    <w:p>
      <w:pPr>
        <w:spacing w:line="360" w:lineRule="auto"/>
        <w:ind w:firstLine="440" w:firstLineChars="200"/>
        <w:outlineLvl w:val="1"/>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7</w:t>
      </w:r>
      <w:r>
        <w:rPr>
          <w:rFonts w:hint="eastAsia" w:ascii="仿宋" w:hAnsi="仿宋" w:eastAsia="仿宋" w:cs="仿宋"/>
          <w:sz w:val="22"/>
          <w:szCs w:val="22"/>
        </w:rPr>
        <w:t>）我公司</w:t>
      </w:r>
      <w:r>
        <w:rPr>
          <w:rFonts w:hint="eastAsia" w:ascii="仿宋" w:hAnsi="仿宋" w:eastAsia="仿宋" w:cs="仿宋"/>
          <w:b/>
          <w:sz w:val="22"/>
          <w:szCs w:val="22"/>
          <w:u w:val="single"/>
        </w:rPr>
        <w:t>（说明：填写“</w:t>
      </w:r>
      <w:r>
        <w:rPr>
          <w:rFonts w:hint="eastAsia" w:ascii="仿宋" w:hAnsi="仿宋" w:eastAsia="仿宋" w:cs="仿宋"/>
          <w:b/>
          <w:sz w:val="22"/>
          <w:szCs w:val="22"/>
          <w:u w:val="single"/>
          <w:lang w:val="en-US" w:eastAsia="zh-CN"/>
        </w:rPr>
        <w:t>能够</w:t>
      </w:r>
      <w:r>
        <w:rPr>
          <w:rFonts w:hint="eastAsia" w:ascii="仿宋" w:hAnsi="仿宋" w:eastAsia="仿宋" w:cs="仿宋"/>
          <w:b/>
          <w:sz w:val="22"/>
          <w:szCs w:val="22"/>
          <w:u w:val="single"/>
        </w:rPr>
        <w:t>”或“不</w:t>
      </w:r>
      <w:r>
        <w:rPr>
          <w:rFonts w:hint="eastAsia" w:ascii="仿宋" w:hAnsi="仿宋" w:eastAsia="仿宋" w:cs="仿宋"/>
          <w:b/>
          <w:sz w:val="22"/>
          <w:szCs w:val="22"/>
          <w:u w:val="single"/>
          <w:lang w:val="en-US" w:eastAsia="zh-CN"/>
        </w:rPr>
        <w:t>能够</w:t>
      </w:r>
      <w:r>
        <w:rPr>
          <w:rFonts w:hint="eastAsia" w:ascii="仿宋" w:hAnsi="仿宋" w:eastAsia="仿宋" w:cs="仿宋"/>
          <w:b/>
          <w:sz w:val="22"/>
          <w:szCs w:val="22"/>
          <w:u w:val="single"/>
        </w:rPr>
        <w:t>”</w:t>
      </w:r>
      <w:r>
        <w:rPr>
          <w:rFonts w:hint="eastAsia" w:ascii="仿宋" w:hAnsi="仿宋" w:eastAsia="仿宋" w:cs="仿宋"/>
          <w:sz w:val="22"/>
          <w:szCs w:val="22"/>
          <w:u w:val="single"/>
        </w:rPr>
        <w:t>）</w:t>
      </w:r>
      <w:r>
        <w:rPr>
          <w:rFonts w:hint="eastAsia" w:ascii="仿宋" w:hAnsi="仿宋" w:eastAsia="仿宋" w:cs="仿宋"/>
          <w:sz w:val="22"/>
          <w:szCs w:val="22"/>
          <w:lang w:val="en-US" w:eastAsia="zh-CN"/>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szCs w:val="22"/>
        </w:rPr>
      </w:pPr>
      <w:bookmarkStart w:id="87" w:name="_Toc12088"/>
      <w:bookmarkStart w:id="88" w:name="_Toc14252"/>
      <w:bookmarkStart w:id="89" w:name="_Toc32365"/>
      <w:bookmarkStart w:id="90" w:name="_Toc1313"/>
      <w:bookmarkStart w:id="91" w:name="_Toc31638"/>
      <w:bookmarkStart w:id="92" w:name="_Toc26756"/>
      <w:bookmarkStart w:id="93" w:name="_Toc15916"/>
      <w:bookmarkStart w:id="94" w:name="_Toc21351"/>
      <w:bookmarkStart w:id="95" w:name="_Toc24122"/>
      <w:r>
        <w:rPr>
          <w:rFonts w:hint="eastAsia" w:ascii="仿宋" w:hAnsi="仿宋" w:eastAsia="仿宋" w:cs="仿宋"/>
          <w:sz w:val="22"/>
          <w:szCs w:val="22"/>
        </w:rPr>
        <w:t>本</w:t>
      </w:r>
      <w:r>
        <w:rPr>
          <w:rFonts w:hint="eastAsia" w:ascii="仿宋" w:hAnsi="仿宋" w:eastAsia="仿宋" w:cs="仿宋"/>
          <w:sz w:val="22"/>
          <w:szCs w:val="22"/>
          <w:lang w:val="en-US" w:eastAsia="zh-CN"/>
        </w:rPr>
        <w:t>公司</w:t>
      </w:r>
      <w:r>
        <w:rPr>
          <w:rFonts w:hint="eastAsia" w:ascii="仿宋" w:hAnsi="仿宋" w:eastAsia="仿宋" w:cs="仿宋"/>
          <w:sz w:val="22"/>
          <w:szCs w:val="22"/>
        </w:rPr>
        <w:t>对上述承诺的内容事项真实性负责。如经查实上述承诺的内容事项存在虚假，我</w:t>
      </w:r>
      <w:r>
        <w:rPr>
          <w:rFonts w:hint="eastAsia" w:ascii="仿宋" w:hAnsi="仿宋" w:eastAsia="仿宋" w:cs="仿宋"/>
          <w:sz w:val="22"/>
          <w:szCs w:val="22"/>
          <w:lang w:val="en-US" w:eastAsia="zh-CN"/>
        </w:rPr>
        <w:t>公司</w:t>
      </w:r>
      <w:r>
        <w:rPr>
          <w:rFonts w:hint="eastAsia" w:ascii="仿宋" w:hAnsi="仿宋" w:eastAsia="仿宋" w:cs="仿宋"/>
          <w:sz w:val="22"/>
          <w:szCs w:val="22"/>
        </w:rPr>
        <w:t>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szCs w:val="22"/>
        </w:rPr>
      </w:pPr>
      <w:r>
        <w:rPr>
          <w:rFonts w:hint="eastAsia" w:ascii="仿宋" w:hAnsi="仿宋" w:eastAsia="仿宋" w:cs="仿宋"/>
          <w:bCs/>
          <w:color w:val="000000"/>
          <w:sz w:val="22"/>
          <w:szCs w:val="22"/>
        </w:rPr>
        <w:t xml:space="preserve">                      </w:t>
      </w:r>
      <w:bookmarkStart w:id="96" w:name="_Toc28267"/>
    </w:p>
    <w:bookmarkEnd w:id="96"/>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 </w:t>
      </w:r>
      <w:bookmarkStart w:id="97" w:name="_Toc29215"/>
      <w:bookmarkStart w:id="98" w:name="_Toc10583"/>
      <w:bookmarkStart w:id="99" w:name="_Toc26609"/>
      <w:bookmarkStart w:id="100" w:name="_Toc9398"/>
      <w:bookmarkStart w:id="101" w:name="_Toc27985"/>
      <w:bookmarkStart w:id="102" w:name="_Toc23212"/>
      <w:bookmarkStart w:id="103" w:name="_Toc15894"/>
      <w:bookmarkStart w:id="104" w:name="_Toc15083"/>
      <w:bookmarkStart w:id="105" w:name="_Toc22760"/>
      <w:bookmarkStart w:id="106" w:name="_Toc27948"/>
      <w:bookmarkStart w:id="107" w:name="_Toc18046"/>
      <w:bookmarkStart w:id="108" w:name="_Toc11278"/>
      <w:bookmarkStart w:id="109" w:name="_Toc19589"/>
      <w:r>
        <w:rPr>
          <w:rFonts w:hint="eastAsia" w:ascii="仿宋" w:hAnsi="仿宋" w:eastAsia="仿宋" w:cs="仿宋"/>
          <w:sz w:val="22"/>
          <w:szCs w:val="22"/>
        </w:rPr>
        <w:t>供应商单位名称：</w:t>
      </w:r>
      <w:r>
        <w:rPr>
          <w:rFonts w:hint="eastAsia" w:ascii="仿宋" w:hAnsi="仿宋" w:eastAsia="仿宋" w:cs="仿宋"/>
          <w:sz w:val="22"/>
          <w:szCs w:val="22"/>
          <w:u w:val="single"/>
        </w:rPr>
        <w:t xml:space="preserve">                             </w:t>
      </w:r>
      <w:r>
        <w:rPr>
          <w:rFonts w:hint="eastAsia" w:ascii="仿宋" w:hAnsi="仿宋" w:eastAsia="仿宋" w:cs="仿宋"/>
          <w:sz w:val="22"/>
          <w:szCs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szCs w:val="22"/>
        </w:rPr>
      </w:pPr>
      <w:bookmarkStart w:id="110" w:name="_Toc29648"/>
      <w:bookmarkStart w:id="111" w:name="_Toc8940"/>
      <w:bookmarkStart w:id="112" w:name="_Toc17741"/>
      <w:bookmarkStart w:id="113" w:name="_Toc8348"/>
      <w:bookmarkStart w:id="114" w:name="_Toc27767"/>
      <w:bookmarkStart w:id="115" w:name="_Toc14546"/>
      <w:bookmarkStart w:id="116" w:name="_Toc17204"/>
      <w:bookmarkStart w:id="117" w:name="_Toc8083"/>
      <w:bookmarkStart w:id="118" w:name="_Toc24107"/>
      <w:bookmarkStart w:id="119" w:name="_Toc24671"/>
      <w:bookmarkStart w:id="120" w:name="_Toc757"/>
      <w:bookmarkStart w:id="121" w:name="_Toc4116"/>
      <w:bookmarkStart w:id="122" w:name="_Toc24655"/>
      <w:r>
        <w:rPr>
          <w:rFonts w:hint="eastAsia" w:ascii="仿宋" w:hAnsi="仿宋" w:eastAsia="仿宋" w:cs="仿宋"/>
          <w:sz w:val="22"/>
          <w:szCs w:val="22"/>
        </w:rPr>
        <w:t>法定代表人或授权代表签字：</w:t>
      </w:r>
      <w:r>
        <w:rPr>
          <w:rFonts w:hint="eastAsia" w:ascii="仿宋" w:hAnsi="仿宋" w:eastAsia="仿宋" w:cs="仿宋"/>
          <w:sz w:val="22"/>
          <w:szCs w:val="22"/>
          <w:u w:val="single"/>
        </w:rPr>
        <w:t xml:space="preserve">             </w:t>
      </w:r>
      <w:r>
        <w:rPr>
          <w:rFonts w:hint="eastAsia" w:ascii="仿宋" w:hAnsi="仿宋" w:eastAsia="仿宋" w:cs="仿宋"/>
          <w:sz w:val="22"/>
          <w:szCs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szCs w:val="22"/>
        </w:rPr>
      </w:pPr>
      <w:bookmarkStart w:id="123" w:name="_Toc12682"/>
      <w:bookmarkStart w:id="124" w:name="_Toc2003"/>
      <w:bookmarkStart w:id="125" w:name="_Toc10945"/>
      <w:bookmarkStart w:id="126" w:name="_Toc5840"/>
      <w:bookmarkStart w:id="127" w:name="_Toc10950"/>
      <w:bookmarkStart w:id="128" w:name="_Toc20745"/>
      <w:bookmarkStart w:id="129" w:name="_Toc22243"/>
      <w:bookmarkStart w:id="130" w:name="_Toc15917"/>
      <w:bookmarkStart w:id="131" w:name="_Toc8524"/>
      <w:bookmarkStart w:id="132" w:name="_Toc14781"/>
      <w:bookmarkStart w:id="133" w:name="_Toc24280"/>
      <w:bookmarkStart w:id="134" w:name="_Toc10308"/>
      <w:r>
        <w:rPr>
          <w:rFonts w:hint="eastAsia" w:ascii="仿宋" w:hAnsi="仿宋" w:eastAsia="仿宋" w:cs="仿宋"/>
          <w:sz w:val="22"/>
          <w:szCs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w:t>
      </w:r>
      <w:r>
        <w:rPr>
          <w:rFonts w:hint="eastAsia" w:ascii="仿宋_GB2312" w:hAnsi="Segoe UI" w:eastAsia="仿宋_GB2312" w:cs="Segoe UI"/>
          <w:b/>
          <w:bCs/>
          <w:color w:val="000000" w:themeColor="text1"/>
          <w:kern w:val="0"/>
          <w:sz w:val="24"/>
          <w:szCs w:val="24"/>
          <w:lang w:val="en-US" w:eastAsia="zh-CN"/>
        </w:rPr>
        <w:t>4</w:t>
      </w:r>
      <w:r>
        <w:rPr>
          <w:rFonts w:hint="eastAsia" w:ascii="仿宋_GB2312" w:hAnsi="Segoe UI" w:eastAsia="仿宋_GB2312" w:cs="Segoe UI"/>
          <w:b/>
          <w:bCs/>
          <w:color w:val="000000" w:themeColor="text1"/>
          <w:kern w:val="0"/>
          <w:sz w:val="24"/>
          <w:szCs w:val="24"/>
        </w:rPr>
        <w:t>：</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135" w:name="_Toc95295163"/>
      <w:bookmarkEnd w:id="135"/>
      <w:r>
        <w:rPr>
          <w:rFonts w:hint="eastAsia" w:ascii="仿宋_GB2312" w:hAnsi="Segoe UI" w:eastAsia="仿宋_GB2312" w:cs="Segoe UI"/>
          <w:b/>
          <w:bCs/>
          <w:color w:val="000000" w:themeColor="text1"/>
          <w:kern w:val="0"/>
          <w:sz w:val="24"/>
          <w:szCs w:val="24"/>
        </w:rPr>
        <w:t>附件4-</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13506"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tabs>
                <w:tab w:val="left" w:pos="5511"/>
              </w:tabs>
              <w:wordWrap w:val="0"/>
              <w:jc w:val="left"/>
              <w:rPr>
                <w:rFonts w:hint="default" w:ascii="宋体" w:hAnsi="宋体" w:eastAsia="宋体" w:cs="Segoe UI"/>
                <w:color w:val="000000" w:themeColor="text1"/>
                <w:kern w:val="0"/>
                <w:sz w:val="24"/>
                <w:szCs w:val="24"/>
                <w:lang w:val="en-US" w:eastAsia="zh-CN"/>
              </w:rPr>
            </w:pPr>
            <w:r>
              <w:rPr>
                <w:rFonts w:hint="eastAsia" w:ascii="宋体" w:hAnsi="宋体" w:eastAsia="宋体" w:cs="Segoe UI"/>
                <w:color w:val="000000" w:themeColor="text1"/>
                <w:kern w:val="0"/>
                <w:sz w:val="24"/>
                <w:szCs w:val="24"/>
                <w:lang w:eastAsia="zh-CN"/>
              </w:rPr>
              <w:tab/>
            </w:r>
            <w:r>
              <w:rPr>
                <w:rFonts w:hint="eastAsia" w:ascii="宋体" w:hAnsi="宋体" w:eastAsia="宋体" w:cs="Segoe UI"/>
                <w:color w:val="000000" w:themeColor="text1"/>
                <w:kern w:val="0"/>
                <w:sz w:val="24"/>
                <w:szCs w:val="24"/>
                <w:lang w:val="en-US" w:eastAsia="zh-CN"/>
              </w:rPr>
              <w:t>报价总价：       （元）（大写：                 ）</w:t>
            </w:r>
          </w:p>
        </w:tc>
      </w:tr>
    </w:tbl>
    <w:p>
      <w:pPr>
        <w:widowControl/>
        <w:shd w:val="clear" w:color="auto" w:fill="FFFFFF"/>
        <w:wordWrap w:val="0"/>
        <w:jc w:val="left"/>
        <w:rPr>
          <w:rFonts w:hint="eastAsia"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w:t>
      </w:r>
      <w:bookmarkStart w:id="136" w:name="_GoBack"/>
      <w:bookmarkEnd w:id="136"/>
      <w:r>
        <w:rPr>
          <w:rFonts w:hint="eastAsia" w:ascii="仿宋_GB2312" w:hAnsi="Segoe UI" w:eastAsia="仿宋_GB2312" w:cs="Segoe UI"/>
          <w:color w:val="000000" w:themeColor="text1"/>
          <w:kern w:val="0"/>
          <w:sz w:val="24"/>
          <w:szCs w:val="24"/>
        </w:rPr>
        <w:t>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478F1"/>
    <w:multiLevelType w:val="singleLevel"/>
    <w:tmpl w:val="978478F1"/>
    <w:lvl w:ilvl="0" w:tentative="0">
      <w:start w:val="1"/>
      <w:numFmt w:val="decimal"/>
      <w:lvlText w:val="%1."/>
      <w:lvlJc w:val="left"/>
      <w:pPr>
        <w:tabs>
          <w:tab w:val="left" w:pos="312"/>
        </w:tabs>
      </w:pPr>
    </w:lvl>
  </w:abstractNum>
  <w:abstractNum w:abstractNumId="1">
    <w:nsid w:val="1619E29A"/>
    <w:multiLevelType w:val="singleLevel"/>
    <w:tmpl w:val="1619E29A"/>
    <w:lvl w:ilvl="0" w:tentative="0">
      <w:start w:val="1"/>
      <w:numFmt w:val="decimal"/>
      <w:suff w:val="space"/>
      <w:lvlText w:val="%1."/>
      <w:lvlJc w:val="left"/>
    </w:lvl>
  </w:abstractNum>
  <w:abstractNum w:abstractNumId="2">
    <w:nsid w:val="59D0C192"/>
    <w:multiLevelType w:val="singleLevel"/>
    <w:tmpl w:val="59D0C192"/>
    <w:lvl w:ilvl="0" w:tentative="0">
      <w:start w:val="1"/>
      <w:numFmt w:val="decimal"/>
      <w:suff w:val="space"/>
      <w:lvlText w:val="%1."/>
      <w:lvlJc w:val="left"/>
    </w:lvl>
  </w:abstractNum>
  <w:abstractNum w:abstractNumId="3">
    <w:nsid w:val="7FA005B6"/>
    <w:multiLevelType w:val="singleLevel"/>
    <w:tmpl w:val="7FA005B6"/>
    <w:lvl w:ilvl="0" w:tentative="0">
      <w:start w:val="8"/>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BBA40DB"/>
    <w:rsid w:val="0E911C5D"/>
    <w:rsid w:val="195D2073"/>
    <w:rsid w:val="1B402C2C"/>
    <w:rsid w:val="23816F04"/>
    <w:rsid w:val="3A083BB7"/>
    <w:rsid w:val="41E40D3A"/>
    <w:rsid w:val="51CB3FD0"/>
    <w:rsid w:val="5536063D"/>
    <w:rsid w:val="62FA0171"/>
    <w:rsid w:val="65C660E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qFormat/>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 w:type="character" w:customStyle="1" w:styleId="21">
    <w:name w:val="fontstyle01"/>
    <w:basedOn w:val="13"/>
    <w:uiPriority w:val="0"/>
    <w:rPr>
      <w:rFonts w:ascii="SegoeUI" w:hAnsi="SegoeUI" w:eastAsia="SegoeUI" w:cs="SegoeUI"/>
      <w:color w:val="333333"/>
      <w:sz w:val="16"/>
      <w:szCs w:val="16"/>
    </w:rPr>
  </w:style>
  <w:style w:type="character" w:customStyle="1" w:styleId="22">
    <w:name w:val="fontstyle11"/>
    <w:basedOn w:val="13"/>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2023-01-31T03:35:39Z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