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6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  <w:t>水平旋转仪</w:t>
            </w:r>
          </w:p>
        </w:tc>
        <w:tc>
          <w:tcPr>
            <w:tcW w:w="6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570"/>
              </w:tabs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1.水平状态转速符合100r/min±2r/min或180r/min±2r/min要求。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570"/>
              </w:tabs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2.时间控制精度符合±1s/min要求。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570"/>
              </w:tabs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3.数字化电子控制部件可预设RPR/TRUST和VDRL试验的固定反应程序。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570"/>
              </w:tabs>
              <w:spacing w:line="400" w:lineRule="exact"/>
              <w:jc w:val="left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4.水平样品托盘附有夹槽用于固定反应板，避免在旋转时反应板滑出水平旋转仪。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570"/>
              </w:tabs>
              <w:spacing w:line="400" w:lineRule="exact"/>
              <w:jc w:val="left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5.不使用旋钮式调节装置的水平旋转仪。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E-FZ9-PK74836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34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BookMaker1DlFont105368765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53687655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SS9-PK748200015f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4MWU4MGZkZjcwM2FhOTFlZjRhMGVjNzIxNmJkZTgifQ=="/>
  </w:docVars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4EEF755D"/>
    <w:rsid w:val="63B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0"/>
    <w:rPr>
      <w:rFonts w:ascii="Segoe UI" w:hAnsi="Segoe UI" w:eastAsia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hover16"/>
    <w:basedOn w:val="7"/>
    <w:uiPriority w:val="0"/>
    <w:rPr>
      <w:color w:val="1A85D7"/>
    </w:rPr>
  </w:style>
  <w:style w:type="character" w:customStyle="1" w:styleId="17">
    <w:name w:val="hover17"/>
    <w:basedOn w:val="7"/>
    <w:uiPriority w:val="0"/>
    <w:rPr>
      <w:b/>
      <w:bCs/>
      <w:color w:val="C85F1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320</Characters>
  <Lines>4</Lines>
  <Paragraphs>1</Paragraphs>
  <TotalTime>3</TotalTime>
  <ScaleCrop>false</ScaleCrop>
  <LinksUpToDate>false</LinksUpToDate>
  <CharactersWithSpaces>410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翟玉龙</cp:lastModifiedBy>
  <dcterms:modified xsi:type="dcterms:W3CDTF">2023-02-06T02:29:16Z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E5BA9F575EC9454EA9E411484630DBE5</vt:lpwstr>
  </property>
</Properties>
</file>