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hint="eastAsia" w:ascii="黑体" w:hAnsi="黑体" w:eastAsia="黑体" w:cs="Segoe UI"/>
          <w:color w:val="333333"/>
          <w:kern w:val="0"/>
          <w:sz w:val="32"/>
          <w:szCs w:val="32"/>
        </w:rPr>
      </w:pPr>
      <w:r>
        <w:rPr>
          <w:rFonts w:hint="eastAsia" w:ascii="黑体" w:hAnsi="黑体" w:eastAsia="黑体" w:cs="Segoe UI"/>
          <w:color w:val="333333"/>
          <w:kern w:val="0"/>
          <w:sz w:val="32"/>
          <w:szCs w:val="32"/>
        </w:rPr>
        <w:t>附件1：</w:t>
      </w:r>
    </w:p>
    <w:p>
      <w:pPr>
        <w:widowControl/>
        <w:shd w:val="clear" w:color="auto" w:fill="FFFFFF"/>
        <w:spacing w:line="400" w:lineRule="exact"/>
        <w:jc w:val="left"/>
        <w:rPr>
          <w:rFonts w:hint="eastAsia" w:ascii="黑体" w:hAnsi="黑体" w:eastAsia="黑体" w:cs="Segoe UI"/>
          <w:color w:val="333333"/>
          <w:kern w:val="0"/>
          <w:sz w:val="32"/>
          <w:szCs w:val="32"/>
        </w:rPr>
      </w:pPr>
      <w:r>
        <w:rPr>
          <w:rFonts w:hint="eastAsia" w:ascii="仿宋" w:hAnsi="仿宋" w:eastAsia="仿宋" w:cs="Segoe UI"/>
          <w:b/>
          <w:color w:val="333333"/>
          <w:spacing w:val="8"/>
          <w:kern w:val="0"/>
          <w:sz w:val="28"/>
          <w:szCs w:val="28"/>
        </w:rPr>
        <w:t>（一）采购项目配置需求</w:t>
      </w:r>
    </w:p>
    <w:tbl>
      <w:tblPr>
        <w:tblStyle w:val="6"/>
        <w:tblpPr w:leftFromText="180" w:rightFromText="180" w:vertAnchor="text" w:horzAnchor="page" w:tblpX="712" w:tblpY="698"/>
        <w:tblOverlap w:val="never"/>
        <w:tblW w:w="606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232"/>
        <w:gridCol w:w="1376"/>
        <w:gridCol w:w="7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32" w:type="pct"/>
            <w:noWrap w:val="0"/>
            <w:vAlign w:val="center"/>
          </w:tcPr>
          <w:p>
            <w:pPr>
              <w:spacing w:line="420" w:lineRule="exact"/>
              <w:jc w:val="center"/>
              <w:rPr>
                <w:rFonts w:hint="eastAsia" w:ascii="宋体" w:hAnsi="宋体" w:eastAsia="宋体" w:cs="Segoe UI"/>
                <w:spacing w:val="8"/>
                <w:kern w:val="0"/>
                <w:sz w:val="18"/>
                <w:szCs w:val="18"/>
                <w:lang w:eastAsia="zh-CN"/>
              </w:rPr>
            </w:pPr>
            <w:r>
              <w:rPr>
                <w:rFonts w:hint="eastAsia" w:cs="宋体"/>
                <w:color w:val="000000"/>
                <w:kern w:val="0"/>
                <w:lang w:val="en-US" w:eastAsia="zh-CN"/>
              </w:rPr>
              <w:t>序号</w:t>
            </w:r>
          </w:p>
        </w:tc>
        <w:tc>
          <w:tcPr>
            <w:tcW w:w="596" w:type="pct"/>
            <w:noWrap w:val="0"/>
            <w:vAlign w:val="center"/>
          </w:tcPr>
          <w:p>
            <w:pPr>
              <w:spacing w:line="420" w:lineRule="exact"/>
              <w:jc w:val="center"/>
              <w:rPr>
                <w:rFonts w:hint="eastAsia" w:ascii="Times New Roman" w:hAnsi="Times New Roman" w:eastAsia="宋体" w:cs="宋体"/>
                <w:color w:val="000000"/>
                <w:kern w:val="0"/>
              </w:rPr>
            </w:pPr>
            <w:r>
              <w:rPr>
                <w:rFonts w:hint="eastAsia" w:ascii="Times New Roman" w:hAnsi="Times New Roman" w:eastAsia="宋体" w:cs="宋体"/>
                <w:color w:val="000000"/>
                <w:kern w:val="0"/>
                <w:lang w:val="en-US" w:eastAsia="zh-CN"/>
              </w:rPr>
              <w:t>产品名称</w:t>
            </w:r>
          </w:p>
        </w:tc>
        <w:tc>
          <w:tcPr>
            <w:tcW w:w="665" w:type="pct"/>
            <w:noWrap w:val="0"/>
            <w:vAlign w:val="center"/>
          </w:tcPr>
          <w:p>
            <w:pPr>
              <w:spacing w:line="420" w:lineRule="exact"/>
              <w:jc w:val="center"/>
              <w:rPr>
                <w:rFonts w:hint="default" w:ascii="Times New Roman" w:hAnsi="Times New Roman" w:eastAsia="宋体" w:cs="宋体"/>
                <w:color w:val="000000"/>
                <w:kern w:val="0"/>
                <w:lang w:val="en-US"/>
              </w:rPr>
            </w:pPr>
            <w:r>
              <w:rPr>
                <w:rFonts w:hint="eastAsia" w:ascii="Times New Roman" w:hAnsi="Times New Roman" w:eastAsia="宋体" w:cs="宋体"/>
                <w:color w:val="000000"/>
                <w:kern w:val="0"/>
                <w:lang w:val="en-US" w:eastAsia="zh-CN"/>
              </w:rPr>
              <w:t>年度预估使用量</w:t>
            </w:r>
          </w:p>
        </w:tc>
        <w:tc>
          <w:tcPr>
            <w:tcW w:w="3405" w:type="pct"/>
            <w:noWrap w:val="0"/>
            <w:vAlign w:val="center"/>
          </w:tcPr>
          <w:p>
            <w:pPr>
              <w:spacing w:line="420" w:lineRule="exact"/>
              <w:jc w:val="center"/>
              <w:rPr>
                <w:rFonts w:hint="eastAsia" w:ascii="Times New Roman" w:hAnsi="Times New Roman" w:eastAsia="宋体" w:cs="宋体"/>
                <w:color w:val="000000"/>
                <w:kern w:val="0"/>
              </w:rPr>
            </w:pPr>
            <w:r>
              <w:rPr>
                <w:rFonts w:hint="eastAsia" w:ascii="Times New Roman" w:hAnsi="Times New Roman" w:eastAsia="宋体" w:cs="宋体"/>
                <w:color w:val="000000"/>
                <w:kern w:val="0"/>
                <w:lang w:val="en-US"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2"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w:t>
            </w:r>
          </w:p>
        </w:tc>
        <w:tc>
          <w:tcPr>
            <w:tcW w:w="596"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复苏囊</w:t>
            </w:r>
          </w:p>
        </w:tc>
        <w:tc>
          <w:tcPr>
            <w:tcW w:w="665" w:type="pct"/>
            <w:noWrap w:val="0"/>
            <w:vAlign w:val="center"/>
          </w:tcPr>
          <w:p>
            <w:pPr>
              <w:keepNext w:val="0"/>
              <w:keepLines w:val="0"/>
              <w:widowControl/>
              <w:suppressLineNumbers w:val="0"/>
              <w:jc w:val="center"/>
              <w:textAlignment w:val="center"/>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20</w:t>
            </w:r>
          </w:p>
        </w:tc>
        <w:tc>
          <w:tcPr>
            <w:tcW w:w="3405"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1.产品由储气袋、硅胶面罩、氧气管组成。一体式进气阀组设计，直接连接储气袋和氧气管。硅胶面罩可高温高压灭菌，可重复使用。                                    2.型号：适用于成人，儿童、婴儿、新生儿。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332"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2</w:t>
            </w:r>
          </w:p>
        </w:tc>
        <w:tc>
          <w:tcPr>
            <w:tcW w:w="596" w:type="pct"/>
            <w:noWrap w:val="0"/>
            <w:vAlign w:val="center"/>
          </w:tcPr>
          <w:p>
            <w:pPr>
              <w:keepNext w:val="0"/>
              <w:keepLines w:val="0"/>
              <w:widowControl/>
              <w:suppressLineNumbers w:val="0"/>
              <w:jc w:val="center"/>
              <w:textAlignment w:val="center"/>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喉镜镜筒、叶片</w:t>
            </w:r>
          </w:p>
        </w:tc>
        <w:tc>
          <w:tcPr>
            <w:tcW w:w="665" w:type="pct"/>
            <w:noWrap w:val="0"/>
            <w:vAlign w:val="center"/>
          </w:tcPr>
          <w:p>
            <w:pPr>
              <w:keepNext w:val="0"/>
              <w:keepLines w:val="0"/>
              <w:widowControl/>
              <w:suppressLineNumbers w:val="0"/>
              <w:jc w:val="center"/>
              <w:textAlignment w:val="center"/>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40</w:t>
            </w:r>
          </w:p>
        </w:tc>
        <w:tc>
          <w:tcPr>
            <w:tcW w:w="3405"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1.产品为光纤冷光源照明，采用整块不锈钢材料一次性成型，无焊接。 喉镜叶片表面光洁。                                                                               2.光束≥5500束极光米线束，光纤导管直径≥4mm，光纤传导测量距离≥35mm。喉镜闭合/分离力范围10N-45N。喉镜闭合后缝隙≤0.28mm。                              3.规格：适用于新生儿、婴儿、儿童及成人，可根据需求选择不同规格的叶片。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332"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3</w:t>
            </w:r>
          </w:p>
        </w:tc>
        <w:tc>
          <w:tcPr>
            <w:tcW w:w="596"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轮椅</w:t>
            </w:r>
          </w:p>
        </w:tc>
        <w:tc>
          <w:tcPr>
            <w:tcW w:w="665"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6</w:t>
            </w:r>
          </w:p>
        </w:tc>
        <w:tc>
          <w:tcPr>
            <w:tcW w:w="3405"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1.车架选用高强度铝合金材料焊接而成，表面经氧化处理，采用固定扶手架，刹车采用钢质刹车结构。</w:t>
            </w:r>
            <w:r>
              <w:rPr>
                <w:rFonts w:hint="eastAsia" w:ascii="宋体" w:hAnsi="宋体" w:eastAsia="宋体" w:cs="Segoe UI"/>
                <w:spacing w:val="8"/>
                <w:kern w:val="0"/>
                <w:sz w:val="18"/>
                <w:szCs w:val="18"/>
                <w:lang w:val="en-US" w:eastAsia="zh-CN" w:bidi="ar-SA"/>
              </w:rPr>
              <w:br w:type="textWrapping"/>
            </w:r>
            <w:r>
              <w:rPr>
                <w:rFonts w:hint="eastAsia" w:ascii="宋体" w:hAnsi="宋体" w:eastAsia="宋体" w:cs="Segoe UI"/>
                <w:spacing w:val="8"/>
                <w:kern w:val="0"/>
                <w:sz w:val="18"/>
                <w:szCs w:val="18"/>
                <w:lang w:val="en-US" w:eastAsia="zh-CN" w:bidi="ar-SA"/>
              </w:rPr>
              <w:t>2.座垫/靠垫：采用阻燃阻燃牛津尼龙布料做成，座面平整，配独立海绵软垫。</w:t>
            </w:r>
            <w:r>
              <w:rPr>
                <w:rFonts w:hint="eastAsia" w:ascii="宋体" w:hAnsi="宋体" w:eastAsia="宋体" w:cs="Segoe UI"/>
                <w:spacing w:val="8"/>
                <w:kern w:val="0"/>
                <w:sz w:val="18"/>
                <w:szCs w:val="18"/>
                <w:lang w:val="en-US" w:eastAsia="zh-CN" w:bidi="ar-SA"/>
              </w:rPr>
              <w:br w:type="textWrapping"/>
            </w:r>
            <w:r>
              <w:rPr>
                <w:rFonts w:hint="eastAsia" w:ascii="宋体" w:hAnsi="宋体" w:eastAsia="宋体" w:cs="Segoe UI"/>
                <w:spacing w:val="8"/>
                <w:kern w:val="0"/>
                <w:sz w:val="18"/>
                <w:szCs w:val="18"/>
                <w:lang w:val="en-US" w:eastAsia="zh-CN" w:bidi="ar-SA"/>
              </w:rPr>
              <w:t>3.拆脚：可活动拆脚、拆装操作简易，脚踏板采用金属脚踏板，高度可调。</w:t>
            </w:r>
            <w:r>
              <w:rPr>
                <w:rFonts w:hint="eastAsia" w:ascii="宋体" w:hAnsi="宋体" w:eastAsia="宋体" w:cs="Segoe UI"/>
                <w:spacing w:val="8"/>
                <w:kern w:val="0"/>
                <w:sz w:val="18"/>
                <w:szCs w:val="18"/>
                <w:lang w:val="en-US" w:eastAsia="zh-CN" w:bidi="ar-SA"/>
              </w:rPr>
              <w:br w:type="textWrapping"/>
            </w:r>
            <w:r>
              <w:rPr>
                <w:rFonts w:hint="eastAsia" w:ascii="宋体" w:hAnsi="宋体" w:eastAsia="宋体" w:cs="Segoe UI"/>
                <w:spacing w:val="8"/>
                <w:kern w:val="0"/>
                <w:sz w:val="18"/>
                <w:szCs w:val="18"/>
                <w:lang w:val="en-US" w:eastAsia="zh-CN" w:bidi="ar-SA"/>
              </w:rPr>
              <w:t>4.车轮：实心橡胶轮胎，前轮配高强度塑料轮毂,前轮配置高强度铝合金前叉；后轮配手轮装置。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332"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4</w:t>
            </w:r>
          </w:p>
        </w:tc>
        <w:tc>
          <w:tcPr>
            <w:tcW w:w="596"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复苏板</w:t>
            </w:r>
          </w:p>
        </w:tc>
        <w:tc>
          <w:tcPr>
            <w:tcW w:w="665"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5</w:t>
            </w:r>
          </w:p>
        </w:tc>
        <w:tc>
          <w:tcPr>
            <w:tcW w:w="3405"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采用ABS材料制成。适用于适用于成人、儿童、婴儿。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332"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5</w:t>
            </w:r>
          </w:p>
        </w:tc>
        <w:tc>
          <w:tcPr>
            <w:tcW w:w="596"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氧气流量表</w:t>
            </w:r>
          </w:p>
        </w:tc>
        <w:tc>
          <w:tcPr>
            <w:tcW w:w="665" w:type="pct"/>
            <w:noWrap w:val="0"/>
            <w:vAlign w:val="center"/>
          </w:tcPr>
          <w:p>
            <w:pPr>
              <w:keepNext w:val="0"/>
              <w:keepLines w:val="0"/>
              <w:widowControl/>
              <w:suppressLineNumbers w:val="0"/>
              <w:jc w:val="center"/>
              <w:textAlignment w:val="center"/>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10</w:t>
            </w:r>
          </w:p>
        </w:tc>
        <w:tc>
          <w:tcPr>
            <w:tcW w:w="3405"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1.配套设备带、</w:t>
            </w:r>
            <w:bookmarkStart w:id="1" w:name="_GoBack"/>
            <w:bookmarkEnd w:id="1"/>
            <w:r>
              <w:rPr>
                <w:rFonts w:hint="eastAsia" w:ascii="宋体" w:hAnsi="宋体" w:eastAsia="宋体" w:cs="Segoe UI"/>
                <w:spacing w:val="8"/>
                <w:kern w:val="0"/>
                <w:sz w:val="18"/>
                <w:szCs w:val="18"/>
                <w:lang w:val="en-US" w:eastAsia="zh-CN" w:bidi="ar-SA"/>
              </w:rPr>
              <w:t>吊塔使用，型号包括国标、德标接口。进气口带过滤网，流量管采用双锥度设计，刻度清晰，分布均匀。流量不受出气压力影响。耐压高，能承受1MPa的压力。防喷水设计。                                                                                    2.产品可可经高温消毒。插装针阀流量调节，调节稳定，密封性好。可配雾化器等多种呼吸治疗器械。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332"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6</w:t>
            </w:r>
          </w:p>
        </w:tc>
        <w:tc>
          <w:tcPr>
            <w:tcW w:w="596"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中心负压吸引器</w:t>
            </w:r>
          </w:p>
        </w:tc>
        <w:tc>
          <w:tcPr>
            <w:tcW w:w="665" w:type="pct"/>
            <w:noWrap w:val="0"/>
            <w:vAlign w:val="center"/>
          </w:tcPr>
          <w:p>
            <w:pPr>
              <w:keepNext w:val="0"/>
              <w:keepLines w:val="0"/>
              <w:widowControl/>
              <w:suppressLineNumbers w:val="0"/>
              <w:jc w:val="center"/>
              <w:textAlignment w:val="center"/>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30</w:t>
            </w:r>
          </w:p>
        </w:tc>
        <w:tc>
          <w:tcPr>
            <w:tcW w:w="3405"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▲1.配套设备带、吊塔使用，型号包括国标、德标接口。mmHg/kPa双刻度。夜光彩色真空表，读数便捷，不同负压段用颜色标识。真压表精度等级：4.0级，最大流量：70L/min。膜片稳压方式，配置正压保护安全阀。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trPr>
        <w:tc>
          <w:tcPr>
            <w:tcW w:w="332"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7</w:t>
            </w:r>
          </w:p>
        </w:tc>
        <w:tc>
          <w:tcPr>
            <w:tcW w:w="596"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移动负压吸引器</w:t>
            </w:r>
          </w:p>
        </w:tc>
        <w:tc>
          <w:tcPr>
            <w:tcW w:w="665"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w:t>
            </w:r>
          </w:p>
        </w:tc>
        <w:tc>
          <w:tcPr>
            <w:tcW w:w="3405"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1.产品适用于分泌物、血液等引起的阻塞吸引。手提式，体积小，重量轻，同于放置在急救车用。负压调节范围：0.02MPa～0.085MPa</w:t>
            </w:r>
            <w:r>
              <w:rPr>
                <w:rFonts w:hint="eastAsia" w:ascii="宋体" w:hAnsi="宋体" w:eastAsia="宋体" w:cs="Segoe UI"/>
                <w:spacing w:val="8"/>
                <w:kern w:val="0"/>
                <w:sz w:val="18"/>
                <w:szCs w:val="18"/>
                <w:lang w:val="en-US" w:eastAsia="zh-CN" w:bidi="ar-SA"/>
              </w:rPr>
              <w:br w:type="textWrapping"/>
            </w:r>
            <w:r>
              <w:rPr>
                <w:rFonts w:hint="eastAsia" w:ascii="宋体" w:hAnsi="宋体" w:eastAsia="宋体" w:cs="Segoe UI"/>
                <w:spacing w:val="8"/>
                <w:kern w:val="0"/>
                <w:sz w:val="18"/>
                <w:szCs w:val="18"/>
                <w:lang w:val="en-US" w:eastAsia="zh-CN" w:bidi="ar-SA"/>
              </w:rPr>
              <w:t>2.无油自润滑真空泵，无油雾污染，泵体为单向式，无正压产生。溢流保护装置，防止液体进入泵体。</w:t>
            </w:r>
            <w:r>
              <w:rPr>
                <w:rFonts w:hint="eastAsia" w:ascii="宋体" w:hAnsi="宋体" w:eastAsia="宋体" w:cs="Segoe UI"/>
                <w:spacing w:val="8"/>
                <w:kern w:val="0"/>
                <w:sz w:val="18"/>
                <w:szCs w:val="18"/>
                <w:lang w:val="en-US" w:eastAsia="zh-CN" w:bidi="ar-SA"/>
              </w:rPr>
              <w:br w:type="textWrapping"/>
            </w:r>
            <w:r>
              <w:rPr>
                <w:rFonts w:hint="eastAsia" w:ascii="宋体" w:hAnsi="宋体" w:eastAsia="宋体" w:cs="Segoe UI"/>
                <w:spacing w:val="8"/>
                <w:kern w:val="0"/>
                <w:sz w:val="18"/>
                <w:szCs w:val="18"/>
                <w:lang w:val="en-US" w:eastAsia="zh-CN" w:bidi="ar-SA"/>
              </w:rPr>
              <w:t>3.采用交流、外接直流电源（12V）和机内电池三种供电方式当电网或其原因造成停电时，交直流自动转换，不影响正常吸引，可连接车载电源使用。内置锂电池供电，充足电的蓄电池工作时间≥1小时。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332"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8</w:t>
            </w:r>
          </w:p>
        </w:tc>
        <w:tc>
          <w:tcPr>
            <w:tcW w:w="596"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冷光源检查灯</w:t>
            </w:r>
          </w:p>
        </w:tc>
        <w:tc>
          <w:tcPr>
            <w:tcW w:w="665" w:type="pct"/>
            <w:noWrap w:val="0"/>
            <w:vAlign w:val="center"/>
          </w:tcPr>
          <w:p>
            <w:pPr>
              <w:keepNext w:val="0"/>
              <w:keepLines w:val="0"/>
              <w:widowControl/>
              <w:suppressLineNumbers w:val="0"/>
              <w:jc w:val="center"/>
              <w:textAlignment w:val="center"/>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10</w:t>
            </w:r>
          </w:p>
        </w:tc>
        <w:tc>
          <w:tcPr>
            <w:tcW w:w="3405"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▲1.照度lux≥30000，显色指数100≥Ra≥85，色温k6700≥TC≥3000，左右倾≥180°，前后倾≥180°，升降距离≥500mm。</w:t>
            </w:r>
          </w:p>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▲2.采用LED冷光源作为照明。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332" w:type="pct"/>
            <w:noWrap w:val="0"/>
            <w:vAlign w:val="center"/>
          </w:tcPr>
          <w:p>
            <w:pPr>
              <w:keepNext w:val="0"/>
              <w:keepLines w:val="0"/>
              <w:widowControl/>
              <w:suppressLineNumbers w:val="0"/>
              <w:jc w:val="center"/>
              <w:textAlignment w:val="center"/>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9</w:t>
            </w:r>
          </w:p>
        </w:tc>
        <w:tc>
          <w:tcPr>
            <w:tcW w:w="596"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婴儿体重秤</w:t>
            </w:r>
          </w:p>
        </w:tc>
        <w:tc>
          <w:tcPr>
            <w:tcW w:w="665"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5</w:t>
            </w:r>
          </w:p>
        </w:tc>
        <w:tc>
          <w:tcPr>
            <w:tcW w:w="3405"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1.称重范围≥0-20kg，称重分度值为5g。供电方式为干电池。 具有保存和查看称量值。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332" w:type="pct"/>
            <w:noWrap w:val="0"/>
            <w:vAlign w:val="center"/>
          </w:tcPr>
          <w:p>
            <w:pPr>
              <w:keepNext w:val="0"/>
              <w:keepLines w:val="0"/>
              <w:widowControl/>
              <w:suppressLineNumbers w:val="0"/>
              <w:jc w:val="center"/>
              <w:textAlignment w:val="center"/>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10</w:t>
            </w:r>
          </w:p>
        </w:tc>
        <w:tc>
          <w:tcPr>
            <w:tcW w:w="596"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成人体重秤</w:t>
            </w:r>
          </w:p>
        </w:tc>
        <w:tc>
          <w:tcPr>
            <w:tcW w:w="665"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5</w:t>
            </w:r>
          </w:p>
        </w:tc>
        <w:tc>
          <w:tcPr>
            <w:tcW w:w="3405"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1.秤重范围≥0-180kg，秤重分度值为50g。身高测量：机械伸缩测量身高。身高测高范围≥70-190cm，身高分度值：0.1CM。设备底座面板具有防滑防摔功能。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332" w:type="pct"/>
            <w:noWrap w:val="0"/>
            <w:vAlign w:val="center"/>
          </w:tcPr>
          <w:p>
            <w:pPr>
              <w:keepNext w:val="0"/>
              <w:keepLines w:val="0"/>
              <w:widowControl/>
              <w:suppressLineNumbers w:val="0"/>
              <w:jc w:val="center"/>
              <w:textAlignment w:val="center"/>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12</w:t>
            </w:r>
          </w:p>
        </w:tc>
        <w:tc>
          <w:tcPr>
            <w:tcW w:w="596" w:type="pct"/>
            <w:noWrap w:val="0"/>
            <w:vAlign w:val="center"/>
          </w:tcPr>
          <w:p>
            <w:pPr>
              <w:keepNext w:val="0"/>
              <w:keepLines w:val="0"/>
              <w:widowControl/>
              <w:suppressLineNumbers w:val="0"/>
              <w:jc w:val="center"/>
              <w:textAlignment w:val="center"/>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观片灯</w:t>
            </w:r>
          </w:p>
        </w:tc>
        <w:tc>
          <w:tcPr>
            <w:tcW w:w="665" w:type="pct"/>
            <w:noWrap w:val="0"/>
            <w:vAlign w:val="center"/>
          </w:tcPr>
          <w:p>
            <w:pPr>
              <w:keepNext w:val="0"/>
              <w:keepLines w:val="0"/>
              <w:widowControl/>
              <w:suppressLineNumbers w:val="0"/>
              <w:jc w:val="center"/>
              <w:textAlignment w:val="center"/>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5</w:t>
            </w:r>
          </w:p>
        </w:tc>
        <w:tc>
          <w:tcPr>
            <w:tcW w:w="3405"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用于医生阅读X线胶片使用。采用铝合金型材包边，双侧边采用ABS塑料。采用不锈钢圆柱斜滚压紧式夹片装置，插片轻松、夹片牢固、取片容易。符合国家X线胶片观察灯YY/T0610-2007强制性亮度、均匀性、稳定性、色温和电器安全等标准。</w:t>
            </w:r>
          </w:p>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2.外型尺寸及灯源：单联≥440×570×75MM，双联≥800×570×75MM。观片灯采用LED灯条光源，每联配备LED灯条≥6条，采用旋钮无极调光。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332" w:type="pct"/>
            <w:noWrap w:val="0"/>
            <w:vAlign w:val="center"/>
          </w:tcPr>
          <w:p>
            <w:pPr>
              <w:keepNext w:val="0"/>
              <w:keepLines w:val="0"/>
              <w:widowControl/>
              <w:suppressLineNumbers w:val="0"/>
              <w:jc w:val="center"/>
              <w:textAlignment w:val="center"/>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13</w:t>
            </w:r>
          </w:p>
        </w:tc>
        <w:tc>
          <w:tcPr>
            <w:tcW w:w="596"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转运急救包</w:t>
            </w:r>
          </w:p>
        </w:tc>
        <w:tc>
          <w:tcPr>
            <w:tcW w:w="665"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w:t>
            </w:r>
          </w:p>
        </w:tc>
        <w:tc>
          <w:tcPr>
            <w:tcW w:w="3405"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1.产品由涤纶牛津面料制成，带有侧兜，主兜内部由加厚海绵间隔，主兜尺寸≥45*30*30cm。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332" w:type="pct"/>
            <w:noWrap w:val="0"/>
            <w:vAlign w:val="center"/>
          </w:tcPr>
          <w:p>
            <w:pPr>
              <w:keepNext w:val="0"/>
              <w:keepLines w:val="0"/>
              <w:widowControl/>
              <w:suppressLineNumbers w:val="0"/>
              <w:jc w:val="center"/>
              <w:textAlignment w:val="center"/>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14</w:t>
            </w:r>
          </w:p>
        </w:tc>
        <w:tc>
          <w:tcPr>
            <w:tcW w:w="596"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不锈钢开口器</w:t>
            </w:r>
          </w:p>
        </w:tc>
        <w:tc>
          <w:tcPr>
            <w:tcW w:w="665" w:type="pct"/>
            <w:noWrap w:val="0"/>
            <w:vAlign w:val="center"/>
          </w:tcPr>
          <w:p>
            <w:pPr>
              <w:keepNext w:val="0"/>
              <w:keepLines w:val="0"/>
              <w:widowControl/>
              <w:suppressLineNumbers w:val="0"/>
              <w:jc w:val="center"/>
              <w:textAlignment w:val="center"/>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10</w:t>
            </w:r>
          </w:p>
        </w:tc>
        <w:tc>
          <w:tcPr>
            <w:tcW w:w="3405"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用于口腔手术中保持口腔开启。具有迫使或保持下颌张开的支持结构。由不锈钢材料制成，可重复使用。样式为丁字式。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332" w:type="pct"/>
            <w:noWrap w:val="0"/>
            <w:vAlign w:val="center"/>
          </w:tcPr>
          <w:p>
            <w:pPr>
              <w:keepNext w:val="0"/>
              <w:keepLines w:val="0"/>
              <w:widowControl/>
              <w:suppressLineNumbers w:val="0"/>
              <w:jc w:val="center"/>
              <w:textAlignment w:val="center"/>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15</w:t>
            </w:r>
          </w:p>
        </w:tc>
        <w:tc>
          <w:tcPr>
            <w:tcW w:w="596"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不锈钢压舌板</w:t>
            </w:r>
          </w:p>
        </w:tc>
        <w:tc>
          <w:tcPr>
            <w:tcW w:w="665" w:type="pct"/>
            <w:noWrap w:val="0"/>
            <w:vAlign w:val="center"/>
          </w:tcPr>
          <w:p>
            <w:pPr>
              <w:keepNext w:val="0"/>
              <w:keepLines w:val="0"/>
              <w:widowControl/>
              <w:suppressLineNumbers w:val="0"/>
              <w:jc w:val="center"/>
              <w:textAlignment w:val="center"/>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10</w:t>
            </w:r>
          </w:p>
        </w:tc>
        <w:tc>
          <w:tcPr>
            <w:tcW w:w="3405"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采用不锈钢材料制成，非无菌提供，可重复使用，直型。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32" w:type="pct"/>
            <w:noWrap w:val="0"/>
            <w:vAlign w:val="center"/>
          </w:tcPr>
          <w:p>
            <w:pPr>
              <w:keepNext w:val="0"/>
              <w:keepLines w:val="0"/>
              <w:widowControl/>
              <w:suppressLineNumbers w:val="0"/>
              <w:jc w:val="center"/>
              <w:textAlignment w:val="center"/>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16</w:t>
            </w:r>
          </w:p>
        </w:tc>
        <w:tc>
          <w:tcPr>
            <w:tcW w:w="596"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不锈钢舌钳</w:t>
            </w:r>
          </w:p>
        </w:tc>
        <w:tc>
          <w:tcPr>
            <w:tcW w:w="665" w:type="pct"/>
            <w:noWrap w:val="0"/>
            <w:vAlign w:val="center"/>
          </w:tcPr>
          <w:p>
            <w:pPr>
              <w:keepNext w:val="0"/>
              <w:keepLines w:val="0"/>
              <w:widowControl/>
              <w:suppressLineNumbers w:val="0"/>
              <w:jc w:val="center"/>
              <w:textAlignment w:val="center"/>
              <w:rPr>
                <w:rFonts w:hint="default"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10</w:t>
            </w:r>
          </w:p>
        </w:tc>
        <w:tc>
          <w:tcPr>
            <w:tcW w:w="3405"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由钳喙、关节和钳柄组成。采用不锈钢材料制成，可重复使用。长度≥16cm，直型。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32"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17</w:t>
            </w:r>
          </w:p>
        </w:tc>
        <w:tc>
          <w:tcPr>
            <w:tcW w:w="596"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不锈钢药膏罐</w:t>
            </w:r>
          </w:p>
        </w:tc>
        <w:tc>
          <w:tcPr>
            <w:tcW w:w="665" w:type="pct"/>
            <w:noWrap w:val="0"/>
            <w:vAlign w:val="center"/>
          </w:tcPr>
          <w:p>
            <w:pPr>
              <w:keepNext w:val="0"/>
              <w:keepLines w:val="0"/>
              <w:widowControl/>
              <w:suppressLineNumbers w:val="0"/>
              <w:jc w:val="center"/>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10</w:t>
            </w:r>
          </w:p>
        </w:tc>
        <w:tc>
          <w:tcPr>
            <w:tcW w:w="3405" w:type="pct"/>
            <w:noWrap w:val="0"/>
            <w:vAlign w:val="center"/>
          </w:tcPr>
          <w:p>
            <w:pPr>
              <w:keepNext w:val="0"/>
              <w:keepLines w:val="0"/>
              <w:widowControl/>
              <w:suppressLineNumbers w:val="0"/>
              <w:jc w:val="left"/>
              <w:textAlignment w:val="center"/>
              <w:rPr>
                <w:rFonts w:hint="eastAsia" w:ascii="宋体" w:hAnsi="宋体" w:eastAsia="宋体" w:cs="Segoe UI"/>
                <w:spacing w:val="8"/>
                <w:kern w:val="0"/>
                <w:sz w:val="18"/>
                <w:szCs w:val="18"/>
                <w:lang w:val="en-US" w:eastAsia="zh-CN" w:bidi="ar-SA"/>
              </w:rPr>
            </w:pPr>
            <w:r>
              <w:rPr>
                <w:rFonts w:hint="eastAsia" w:ascii="宋体" w:hAnsi="宋体" w:eastAsia="宋体" w:cs="Segoe UI"/>
                <w:spacing w:val="8"/>
                <w:kern w:val="0"/>
                <w:sz w:val="18"/>
                <w:szCs w:val="18"/>
                <w:lang w:val="en-US" w:eastAsia="zh-CN" w:bidi="ar-SA"/>
              </w:rPr>
              <w:t>由不锈钢材质制成；容量≥φ80×80-φ100×95mm。</w:t>
            </w:r>
          </w:p>
        </w:tc>
      </w:tr>
    </w:tbl>
    <w:p>
      <w:pPr>
        <w:widowControl/>
        <w:shd w:val="clear" w:color="auto" w:fill="FFFFFF"/>
        <w:spacing w:line="400" w:lineRule="exact"/>
        <w:jc w:val="left"/>
        <w:rPr>
          <w:rFonts w:ascii="Segoe UI" w:hAnsi="Segoe UI" w:eastAsia="宋体" w:cs="Segoe UI"/>
          <w:color w:val="333333"/>
          <w:kern w:val="0"/>
          <w:sz w:val="18"/>
          <w:szCs w:val="18"/>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default" w:ascii="仿宋" w:hAnsi="仿宋" w:eastAsia="仿宋" w:cs="Segoe UI"/>
          <w:b/>
          <w:color w:val="333333"/>
          <w:spacing w:val="8"/>
          <w:kern w:val="0"/>
          <w:sz w:val="28"/>
          <w:szCs w:val="28"/>
          <w:lang w:val="en-US" w:eastAsia="zh-CN"/>
        </w:rPr>
      </w:pPr>
      <w:r>
        <w:rPr>
          <w:rFonts w:hint="eastAsia" w:ascii="仿宋" w:hAnsi="仿宋" w:eastAsia="仿宋" w:cs="Segoe UI"/>
          <w:b/>
          <w:color w:val="333333"/>
          <w:spacing w:val="8"/>
          <w:kern w:val="0"/>
          <w:sz w:val="28"/>
          <w:szCs w:val="28"/>
        </w:rPr>
        <w:t>（二）采购预算</w:t>
      </w:r>
      <w:r>
        <w:rPr>
          <w:rFonts w:hint="eastAsia" w:ascii="仿宋" w:hAnsi="仿宋" w:eastAsia="仿宋" w:cs="Segoe UI"/>
          <w:b/>
          <w:color w:val="333333"/>
          <w:spacing w:val="8"/>
          <w:kern w:val="0"/>
          <w:sz w:val="28"/>
          <w:szCs w:val="28"/>
          <w:lang w:val="en-US" w:eastAsia="zh-CN"/>
        </w:rPr>
        <w:t>及供货年限</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hint="eastAsia" w:ascii="仿宋" w:hAnsi="仿宋" w:eastAsia="仿宋" w:cs="宋体"/>
          <w:color w:val="000000"/>
          <w:kern w:val="0"/>
          <w:sz w:val="28"/>
          <w:szCs w:val="28"/>
          <w:lang w:val="en-US" w:eastAsia="zh-CN"/>
        </w:rPr>
        <w:t>年度</w:t>
      </w:r>
      <w:r>
        <w:rPr>
          <w:rFonts w:hint="eastAsia" w:ascii="仿宋" w:hAnsi="仿宋" w:eastAsia="仿宋" w:cs="宋体"/>
          <w:color w:val="000000"/>
          <w:kern w:val="0"/>
          <w:sz w:val="28"/>
          <w:szCs w:val="28"/>
        </w:rPr>
        <w:t>预算总金额：</w:t>
      </w:r>
      <w:r>
        <w:rPr>
          <w:rFonts w:hint="eastAsia" w:ascii="仿宋" w:hAnsi="仿宋" w:eastAsia="仿宋" w:cs="宋体"/>
          <w:color w:val="000000"/>
          <w:kern w:val="0"/>
          <w:sz w:val="28"/>
          <w:szCs w:val="28"/>
          <w:lang w:val="en-US" w:eastAsia="zh-CN"/>
        </w:rPr>
        <w:t>16万</w:t>
      </w:r>
      <w:r>
        <w:rPr>
          <w:rFonts w:hint="eastAsia" w:ascii="仿宋" w:hAnsi="仿宋" w:eastAsia="仿宋" w:cs="宋体"/>
          <w:color w:val="000000"/>
          <w:kern w:val="0"/>
          <w:sz w:val="28"/>
          <w:szCs w:val="28"/>
        </w:rPr>
        <w:t>元</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2.供货期限：3年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ascii="仿宋" w:hAnsi="仿宋" w:eastAsia="仿宋" w:cs="Segoe UI"/>
          <w:b/>
          <w:color w:val="333333"/>
          <w:spacing w:val="8"/>
          <w:kern w:val="0"/>
          <w:sz w:val="28"/>
          <w:szCs w:val="28"/>
        </w:rPr>
      </w:pPr>
      <w:r>
        <w:rPr>
          <w:rFonts w:hint="eastAsia" w:ascii="仿宋" w:hAnsi="仿宋" w:eastAsia="仿宋" w:cs="Segoe UI"/>
          <w:b/>
          <w:color w:val="333333"/>
          <w:spacing w:val="8"/>
          <w:kern w:val="0"/>
          <w:sz w:val="28"/>
          <w:szCs w:val="28"/>
        </w:rPr>
        <w:t>（三）商务要求：</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1.若产品有多种规格型号且价格不同，投标人应将所有型号分项报价。</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 w:hAnsi="仿宋" w:eastAsia="仿宋" w:cs="Segoe UI"/>
          <w:b/>
          <w:color w:val="333333"/>
          <w:spacing w:val="8"/>
          <w:kern w:val="0"/>
          <w:sz w:val="28"/>
          <w:szCs w:val="28"/>
        </w:rPr>
      </w:pPr>
      <w:r>
        <w:rPr>
          <w:rFonts w:hint="eastAsia" w:ascii="仿宋" w:hAnsi="仿宋" w:eastAsia="仿宋" w:cs="Segoe UI"/>
          <w:b/>
          <w:color w:val="333333"/>
          <w:spacing w:val="8"/>
          <w:kern w:val="0"/>
          <w:sz w:val="28"/>
          <w:szCs w:val="28"/>
        </w:rPr>
        <w:t xml:space="preserve">（三）备注: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1.产品年度预计使用量供投标人参考，作为报价测算依据，不做其它用途使用。</w:t>
      </w: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：评审办法（综合评分明细表）</w:t>
      </w:r>
    </w:p>
    <w:tbl>
      <w:tblPr>
        <w:tblStyle w:val="6"/>
        <w:tblW w:w="9180" w:type="dxa"/>
        <w:tblInd w:w="0" w:type="dxa"/>
        <w:shd w:val="clear" w:color="auto" w:fill="FFFFFF"/>
        <w:tblLayout w:type="autofit"/>
        <w:tblCellMar>
          <w:top w:w="0" w:type="dxa"/>
          <w:left w:w="0" w:type="dxa"/>
          <w:bottom w:w="0" w:type="dxa"/>
          <w:right w:w="0" w:type="dxa"/>
        </w:tblCellMar>
      </w:tblPr>
      <w:tblGrid>
        <w:gridCol w:w="532"/>
        <w:gridCol w:w="994"/>
        <w:gridCol w:w="567"/>
        <w:gridCol w:w="4394"/>
        <w:gridCol w:w="2693"/>
      </w:tblGrid>
      <w:tr>
        <w:tblPrEx>
          <w:shd w:val="clear" w:color="auto" w:fill="FFFFFF"/>
          <w:tblCellMar>
            <w:top w:w="0" w:type="dxa"/>
            <w:left w:w="0" w:type="dxa"/>
            <w:bottom w:w="0" w:type="dxa"/>
            <w:right w:w="0" w:type="dxa"/>
          </w:tblCellMar>
        </w:tblPrEx>
        <w:trPr>
          <w:trHeight w:val="298" w:hRule="atLeast"/>
        </w:trPr>
        <w:tc>
          <w:tcPr>
            <w:tcW w:w="53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333333"/>
                <w:kern w:val="0"/>
                <w:sz w:val="18"/>
                <w:szCs w:val="18"/>
              </w:rPr>
            </w:pPr>
            <w:r>
              <w:rPr>
                <w:rFonts w:hint="eastAsia" w:ascii="仿宋" w:hAnsi="仿宋" w:eastAsia="仿宋" w:cs="Segoe UI"/>
                <w:b/>
                <w:color w:val="333333"/>
                <w:kern w:val="0"/>
                <w:sz w:val="24"/>
                <w:szCs w:val="24"/>
              </w:rPr>
              <w:t>序号</w:t>
            </w:r>
          </w:p>
        </w:tc>
        <w:tc>
          <w:tcPr>
            <w:tcW w:w="99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left"/>
              <w:rPr>
                <w:rFonts w:ascii="仿宋" w:hAnsi="仿宋" w:eastAsia="仿宋" w:cs="Segoe UI"/>
                <w:b/>
                <w:color w:val="333333"/>
                <w:kern w:val="0"/>
                <w:sz w:val="18"/>
                <w:szCs w:val="18"/>
              </w:rPr>
            </w:pPr>
            <w:r>
              <w:rPr>
                <w:rFonts w:hint="eastAsia" w:ascii="仿宋" w:hAnsi="仿宋" w:eastAsia="仿宋" w:cs="Segoe UI"/>
                <w:b/>
                <w:color w:val="333333"/>
                <w:kern w:val="0"/>
                <w:sz w:val="24"/>
                <w:szCs w:val="24"/>
              </w:rPr>
              <w:t>评分因素</w:t>
            </w:r>
          </w:p>
        </w:tc>
        <w:tc>
          <w:tcPr>
            <w:tcW w:w="5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333333"/>
                <w:kern w:val="0"/>
                <w:sz w:val="18"/>
                <w:szCs w:val="18"/>
              </w:rPr>
            </w:pPr>
            <w:r>
              <w:rPr>
                <w:rFonts w:hint="eastAsia" w:ascii="仿宋" w:hAnsi="仿宋" w:eastAsia="仿宋" w:cs="Segoe UI"/>
                <w:b/>
                <w:color w:val="333333"/>
                <w:kern w:val="0"/>
                <w:sz w:val="24"/>
                <w:szCs w:val="24"/>
              </w:rPr>
              <w:t>分值</w:t>
            </w:r>
          </w:p>
        </w:tc>
        <w:tc>
          <w:tcPr>
            <w:tcW w:w="439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333333"/>
                <w:kern w:val="0"/>
                <w:sz w:val="18"/>
                <w:szCs w:val="18"/>
              </w:rPr>
            </w:pPr>
            <w:r>
              <w:rPr>
                <w:rFonts w:hint="eastAsia" w:ascii="仿宋" w:hAnsi="仿宋" w:eastAsia="仿宋" w:cs="Segoe UI"/>
                <w:b/>
                <w:color w:val="333333"/>
                <w:kern w:val="0"/>
                <w:sz w:val="24"/>
                <w:szCs w:val="24"/>
              </w:rPr>
              <w:t>评分标准</w:t>
            </w:r>
          </w:p>
        </w:tc>
        <w:tc>
          <w:tcPr>
            <w:tcW w:w="269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40" w:lineRule="atLeast"/>
              <w:jc w:val="center"/>
              <w:rPr>
                <w:rFonts w:ascii="仿宋" w:hAnsi="仿宋" w:eastAsia="仿宋" w:cs="Segoe UI"/>
                <w:b/>
                <w:color w:val="333333"/>
                <w:kern w:val="0"/>
                <w:sz w:val="18"/>
                <w:szCs w:val="18"/>
              </w:rPr>
            </w:pPr>
            <w:r>
              <w:rPr>
                <w:rFonts w:hint="eastAsia" w:ascii="仿宋" w:hAnsi="仿宋" w:eastAsia="仿宋" w:cs="Segoe UI"/>
                <w:b/>
                <w:color w:val="333333"/>
                <w:kern w:val="0"/>
                <w:sz w:val="24"/>
                <w:szCs w:val="24"/>
              </w:rPr>
              <w:t>说</w:t>
            </w:r>
            <w:r>
              <w:rPr>
                <w:rFonts w:hint="eastAsia" w:eastAsia="仿宋" w:cs="Segoe UI" w:asciiTheme="minorEastAsia" w:hAnsiTheme="minorEastAsia"/>
                <w:b/>
                <w:color w:val="333333"/>
                <w:kern w:val="0"/>
                <w:sz w:val="24"/>
                <w:szCs w:val="24"/>
              </w:rPr>
              <w:t xml:space="preserve">  </w:t>
            </w:r>
            <w:r>
              <w:rPr>
                <w:rFonts w:hint="eastAsia" w:ascii="仿宋" w:hAnsi="仿宋" w:eastAsia="仿宋" w:cs="Segoe UI"/>
                <w:b/>
                <w:color w:val="333333"/>
                <w:kern w:val="0"/>
                <w:sz w:val="24"/>
                <w:szCs w:val="24"/>
              </w:rPr>
              <w:t>明</w:t>
            </w:r>
          </w:p>
        </w:tc>
      </w:tr>
      <w:tr>
        <w:tblPrEx>
          <w:shd w:val="clear" w:color="auto" w:fill="FFFFFF"/>
          <w:tblCellMar>
            <w:top w:w="0" w:type="dxa"/>
            <w:left w:w="0" w:type="dxa"/>
            <w:bottom w:w="0" w:type="dxa"/>
            <w:right w:w="0" w:type="dxa"/>
          </w:tblCellMar>
        </w:tblPrEx>
        <w:trPr>
          <w:trHeight w:val="1599" w:hRule="atLeast"/>
        </w:trPr>
        <w:tc>
          <w:tcPr>
            <w:tcW w:w="53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仿宋" w:hAnsi="仿宋" w:eastAsia="仿宋" w:cs="宋体"/>
                <w:color w:val="000000"/>
                <w:kern w:val="0"/>
                <w:sz w:val="22"/>
              </w:rPr>
            </w:pPr>
            <w:r>
              <w:rPr>
                <w:rFonts w:hint="eastAsia" w:ascii="宋体" w:hAnsi="宋体" w:cs="Segoe UI"/>
                <w:color w:val="000000"/>
                <w:kern w:val="0"/>
                <w:sz w:val="18"/>
                <w:szCs w:val="18"/>
              </w:rPr>
              <w:t>1</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报价</w:t>
            </w:r>
          </w:p>
          <w:p>
            <w:pPr>
              <w:widowControl/>
              <w:wordWrap w:val="0"/>
              <w:spacing w:line="270" w:lineRule="atLeast"/>
              <w:jc w:val="center"/>
              <w:rPr>
                <w:rFonts w:hint="eastAsia" w:ascii="仿宋" w:hAnsi="仿宋" w:eastAsia="仿宋" w:cs="宋体"/>
                <w:color w:val="000000"/>
                <w:kern w:val="0"/>
                <w:sz w:val="22"/>
              </w:rPr>
            </w:pPr>
            <w:r>
              <w:rPr>
                <w:rFonts w:hint="eastAsia" w:ascii="宋体" w:hAnsi="宋体" w:cs="宋体"/>
                <w:color w:val="000000"/>
                <w:kern w:val="0"/>
                <w:sz w:val="18"/>
                <w:szCs w:val="18"/>
              </w:rPr>
              <w:t>30%</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仿宋" w:hAnsi="仿宋" w:eastAsia="仿宋" w:cs="宋体"/>
                <w:color w:val="000000"/>
                <w:kern w:val="0"/>
                <w:sz w:val="22"/>
              </w:rPr>
            </w:pPr>
            <w:r>
              <w:rPr>
                <w:rFonts w:hint="eastAsia" w:ascii="宋体" w:hAnsi="宋体" w:cs="宋体"/>
                <w:color w:val="000000"/>
                <w:kern w:val="0"/>
                <w:sz w:val="18"/>
                <w:szCs w:val="18"/>
              </w:rPr>
              <w:t>30</w:t>
            </w:r>
          </w:p>
        </w:tc>
        <w:tc>
          <w:tcPr>
            <w:tcW w:w="43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70" w:lineRule="atLeast"/>
              <w:jc w:val="left"/>
              <w:rPr>
                <w:rFonts w:ascii="宋体" w:hAnsi="宋体" w:cs="宋体"/>
                <w:color w:val="000000"/>
                <w:kern w:val="0"/>
                <w:sz w:val="18"/>
                <w:szCs w:val="18"/>
              </w:rPr>
            </w:pPr>
            <w:r>
              <w:rPr>
                <w:rFonts w:hint="eastAsia" w:ascii="宋体" w:hAnsi="宋体" w:cs="宋体"/>
                <w:color w:val="000000"/>
                <w:kern w:val="0"/>
                <w:sz w:val="18"/>
                <w:szCs w:val="18"/>
              </w:rPr>
              <w:t>1.价格分：</w:t>
            </w:r>
          </w:p>
          <w:p>
            <w:pPr>
              <w:widowControl/>
              <w:wordWrap w:val="0"/>
              <w:spacing w:line="270" w:lineRule="atLeast"/>
              <w:jc w:val="left"/>
              <w:rPr>
                <w:rFonts w:ascii="宋体" w:hAnsi="宋体" w:cs="宋体"/>
                <w:color w:val="000000"/>
                <w:kern w:val="0"/>
                <w:sz w:val="18"/>
                <w:szCs w:val="18"/>
              </w:rPr>
            </w:pPr>
            <w:r>
              <w:rPr>
                <w:rFonts w:hint="eastAsia" w:ascii="宋体" w:hAnsi="宋体" w:cs="宋体"/>
                <w:color w:val="000000"/>
                <w:kern w:val="0"/>
                <w:sz w:val="18"/>
                <w:szCs w:val="18"/>
              </w:rPr>
              <w:t>响应材料满足磋商文件要求且以响应总价最低的为评审基准价，其价格分为30分。其他供应商的价格分统一按照以下公式计算：价格分=(评审基准价／响应总价)×30</w:t>
            </w:r>
          </w:p>
          <w:p>
            <w:pPr>
              <w:widowControl/>
              <w:wordWrap w:val="0"/>
              <w:spacing w:line="270" w:lineRule="atLeast"/>
              <w:jc w:val="left"/>
              <w:rPr>
                <w:rFonts w:ascii="宋体" w:hAnsi="宋体" w:cs="宋体"/>
                <w:color w:val="000000"/>
                <w:kern w:val="0"/>
                <w:sz w:val="18"/>
                <w:szCs w:val="18"/>
              </w:rPr>
            </w:pPr>
            <w:r>
              <w:rPr>
                <w:rFonts w:hint="eastAsia" w:ascii="宋体" w:hAnsi="宋体" w:cs="宋体"/>
                <w:color w:val="000000"/>
                <w:kern w:val="0"/>
                <w:sz w:val="18"/>
                <w:szCs w:val="18"/>
              </w:rPr>
              <w:t>2.响应总价</w:t>
            </w:r>
          </w:p>
          <w:p>
            <w:pPr>
              <w:widowControl/>
              <w:wordWrap w:val="0"/>
              <w:spacing w:line="270" w:lineRule="atLeast"/>
              <w:jc w:val="left"/>
              <w:rPr>
                <w:rFonts w:hint="eastAsia" w:ascii="仿宋" w:hAnsi="仿宋" w:eastAsia="仿宋" w:cs="宋体"/>
                <w:color w:val="000000"/>
                <w:kern w:val="0"/>
                <w:sz w:val="22"/>
              </w:rPr>
            </w:pPr>
            <w:r>
              <w:rPr>
                <w:rFonts w:hint="eastAsia" w:ascii="宋体" w:hAnsi="宋体" w:cs="宋体"/>
                <w:color w:val="000000"/>
                <w:kern w:val="0"/>
                <w:sz w:val="18"/>
                <w:szCs w:val="18"/>
              </w:rPr>
              <w:t>响应总价=各项材料响应单价*预估年度用量之和</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70" w:lineRule="atLeast"/>
              <w:jc w:val="left"/>
              <w:rPr>
                <w:rFonts w:hint="eastAsia" w:ascii="宋体" w:hAnsi="宋体" w:cs="宋体"/>
                <w:color w:val="000000"/>
                <w:kern w:val="0"/>
                <w:sz w:val="18"/>
                <w:szCs w:val="18"/>
              </w:rPr>
            </w:pPr>
            <w:r>
              <w:rPr>
                <w:rFonts w:hint="eastAsia" w:ascii="宋体" w:hAnsi="宋体" w:cs="宋体"/>
                <w:color w:val="000000"/>
                <w:kern w:val="0"/>
                <w:sz w:val="18"/>
                <w:szCs w:val="18"/>
              </w:rPr>
              <w:t>1.若同种产品有多种规格型号且涉及不同报价，供应商应全部报价；</w:t>
            </w:r>
          </w:p>
          <w:p>
            <w:pPr>
              <w:widowControl/>
              <w:wordWrap w:val="0"/>
              <w:spacing w:line="270" w:lineRule="atLeast"/>
              <w:jc w:val="left"/>
              <w:rPr>
                <w:rFonts w:hint="eastAsia" w:ascii="仿宋" w:hAnsi="仿宋" w:eastAsia="仿宋" w:cs="宋体"/>
                <w:color w:val="000000"/>
                <w:kern w:val="0"/>
                <w:sz w:val="22"/>
              </w:rPr>
            </w:pPr>
            <w:r>
              <w:rPr>
                <w:rFonts w:hint="eastAsia" w:ascii="宋体" w:hAnsi="宋体" w:cs="宋体"/>
                <w:color w:val="000000"/>
                <w:kern w:val="0"/>
                <w:sz w:val="18"/>
                <w:szCs w:val="18"/>
              </w:rPr>
              <w:t>2.响应单价为多种规格型号报价的平均价。</w:t>
            </w:r>
          </w:p>
        </w:tc>
      </w:tr>
      <w:tr>
        <w:tblPrEx>
          <w:shd w:val="clear" w:color="auto" w:fill="FFFFFF"/>
          <w:tblCellMar>
            <w:top w:w="0" w:type="dxa"/>
            <w:left w:w="0" w:type="dxa"/>
            <w:bottom w:w="0" w:type="dxa"/>
            <w:right w:w="0" w:type="dxa"/>
          </w:tblCellMar>
        </w:tblPrEx>
        <w:trPr>
          <w:trHeight w:val="955" w:hRule="atLeast"/>
        </w:trPr>
        <w:tc>
          <w:tcPr>
            <w:tcW w:w="53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仿宋" w:hAnsi="仿宋" w:eastAsia="仿宋" w:cs="宋体"/>
                <w:color w:val="000000"/>
                <w:kern w:val="0"/>
                <w:sz w:val="22"/>
              </w:rPr>
            </w:pPr>
            <w:r>
              <w:rPr>
                <w:rFonts w:hint="eastAsia" w:ascii="宋体" w:hAnsi="宋体" w:cs="宋体"/>
                <w:color w:val="000000"/>
                <w:kern w:val="0"/>
                <w:sz w:val="18"/>
                <w:szCs w:val="18"/>
              </w:rPr>
              <w:t>2</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技术指标</w:t>
            </w:r>
          </w:p>
          <w:p>
            <w:pPr>
              <w:widowControl/>
              <w:wordWrap w:val="0"/>
              <w:spacing w:line="270" w:lineRule="atLeast"/>
              <w:jc w:val="center"/>
              <w:rPr>
                <w:rFonts w:hint="eastAsia" w:ascii="仿宋" w:hAnsi="仿宋" w:eastAsia="仿宋" w:cs="宋体"/>
                <w:color w:val="000000"/>
                <w:kern w:val="0"/>
                <w:sz w:val="22"/>
              </w:rPr>
            </w:pPr>
            <w:r>
              <w:rPr>
                <w:rFonts w:hint="eastAsia" w:ascii="宋体" w:hAnsi="宋体" w:cs="宋体"/>
                <w:color w:val="000000"/>
                <w:kern w:val="0"/>
                <w:sz w:val="18"/>
                <w:szCs w:val="18"/>
                <w:lang w:val="en-US" w:eastAsia="zh-CN"/>
              </w:rPr>
              <w:t>47</w:t>
            </w:r>
            <w:r>
              <w:rPr>
                <w:rFonts w:hint="eastAsia" w:ascii="宋体" w:hAnsi="宋体" w:cs="宋体"/>
                <w:color w:val="000000"/>
                <w:kern w:val="0"/>
                <w:sz w:val="18"/>
                <w:szCs w:val="18"/>
              </w:rPr>
              <w:t>%</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default" w:ascii="仿宋" w:hAnsi="仿宋" w:eastAsia="仿宋" w:cs="宋体"/>
                <w:color w:val="000000"/>
                <w:kern w:val="0"/>
                <w:sz w:val="22"/>
                <w:lang w:val="en-US"/>
              </w:rPr>
            </w:pPr>
            <w:r>
              <w:rPr>
                <w:rFonts w:hint="eastAsia" w:ascii="宋体" w:hAnsi="宋体" w:cs="宋体"/>
                <w:color w:val="000000"/>
                <w:kern w:val="0"/>
                <w:sz w:val="18"/>
                <w:szCs w:val="18"/>
                <w:lang w:val="en-US" w:eastAsia="zh-CN"/>
              </w:rPr>
              <w:t>47</w:t>
            </w:r>
          </w:p>
        </w:tc>
        <w:tc>
          <w:tcPr>
            <w:tcW w:w="43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完全符合招标文件技术参数要求得</w:t>
            </w:r>
            <w:r>
              <w:rPr>
                <w:rFonts w:hint="eastAsia" w:ascii="宋体" w:hAnsi="宋体" w:eastAsia="宋体" w:cs="宋体"/>
                <w:color w:val="000000"/>
                <w:kern w:val="0"/>
                <w:sz w:val="18"/>
                <w:szCs w:val="18"/>
                <w:lang w:val="en-US" w:eastAsia="zh-CN"/>
              </w:rPr>
              <w:t>48</w:t>
            </w:r>
            <w:r>
              <w:rPr>
                <w:rFonts w:hint="eastAsia" w:ascii="宋体" w:hAnsi="宋体" w:eastAsia="宋体" w:cs="宋体"/>
                <w:color w:val="000000"/>
                <w:kern w:val="0"/>
                <w:sz w:val="18"/>
                <w:szCs w:val="18"/>
              </w:rPr>
              <w:t>分。▲号条款负偏离一项扣</w:t>
            </w:r>
            <w:r>
              <w:rPr>
                <w:rFonts w:hint="eastAsia" w:ascii="宋体" w:hAnsi="宋体" w:eastAsia="宋体" w:cs="宋体"/>
                <w:color w:val="000000"/>
                <w:kern w:val="0"/>
                <w:sz w:val="18"/>
                <w:szCs w:val="18"/>
                <w:lang w:val="en-US" w:eastAsia="zh-CN"/>
              </w:rPr>
              <w:t>6</w:t>
            </w:r>
            <w:r>
              <w:rPr>
                <w:rFonts w:hint="eastAsia" w:ascii="宋体" w:hAnsi="宋体" w:eastAsia="宋体" w:cs="宋体"/>
                <w:color w:val="000000"/>
                <w:kern w:val="0"/>
                <w:sz w:val="18"/>
                <w:szCs w:val="18"/>
              </w:rPr>
              <w:t>分，非▲号条款负偏离一项扣</w:t>
            </w:r>
            <w:r>
              <w:rPr>
                <w:rFonts w:hint="eastAsia" w:ascii="宋体" w:hAnsi="宋体" w:eastAsia="宋体" w:cs="宋体"/>
                <w:color w:val="000000"/>
                <w:kern w:val="0"/>
                <w:sz w:val="18"/>
                <w:szCs w:val="18"/>
                <w:lang w:val="en-US" w:eastAsia="zh-CN"/>
              </w:rPr>
              <w:t>1</w:t>
            </w:r>
            <w:r>
              <w:rPr>
                <w:rFonts w:hint="eastAsia" w:ascii="宋体" w:hAnsi="宋体" w:eastAsia="宋体" w:cs="宋体"/>
                <w:color w:val="000000"/>
                <w:kern w:val="0"/>
                <w:sz w:val="18"/>
                <w:szCs w:val="18"/>
              </w:rPr>
              <w:t>分，扣完为止。（▲号条款共</w:t>
            </w:r>
            <w:r>
              <w:rPr>
                <w:rFonts w:hint="eastAsia" w:ascii="宋体" w:hAnsi="宋体" w:eastAsia="宋体" w:cs="宋体"/>
                <w:color w:val="000000"/>
                <w:kern w:val="0"/>
                <w:sz w:val="18"/>
                <w:szCs w:val="18"/>
                <w:lang w:val="en-US" w:eastAsia="zh-CN"/>
              </w:rPr>
              <w:t>4</w:t>
            </w:r>
            <w:r>
              <w:rPr>
                <w:rFonts w:hint="eastAsia" w:ascii="宋体" w:hAnsi="宋体" w:eastAsia="宋体" w:cs="宋体"/>
                <w:color w:val="000000"/>
                <w:kern w:val="0"/>
                <w:sz w:val="18"/>
                <w:szCs w:val="18"/>
              </w:rPr>
              <w:t>项，非▲号条款共</w:t>
            </w:r>
            <w:r>
              <w:rPr>
                <w:rFonts w:hint="eastAsia" w:ascii="宋体" w:hAnsi="宋体" w:eastAsia="宋体" w:cs="宋体"/>
                <w:color w:val="000000"/>
                <w:kern w:val="0"/>
                <w:sz w:val="18"/>
                <w:szCs w:val="18"/>
                <w:lang w:val="en-US" w:eastAsia="zh-CN"/>
              </w:rPr>
              <w:t>23</w:t>
            </w:r>
            <w:r>
              <w:rPr>
                <w:rFonts w:hint="eastAsia" w:ascii="宋体" w:hAnsi="宋体" w:eastAsia="宋体" w:cs="宋体"/>
                <w:color w:val="000000"/>
                <w:kern w:val="0"/>
                <w:sz w:val="18"/>
                <w:szCs w:val="18"/>
              </w:rPr>
              <w:t>项）。</w:t>
            </w:r>
          </w:p>
          <w:p>
            <w:pPr>
              <w:widowControl/>
              <w:wordWrap w:val="0"/>
              <w:spacing w:line="270" w:lineRule="atLeas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注：（1）▲号条款需提供证明文件（按招标文件要求提供资料, ▲号条款招标文件未要求提供证明材料的，提供所投产品说明书或向社会公开的彩页资料或国家认可的合法的检测机构出具的检测报告等有效证明材料并加盖投标人公章）。（2）如技术指标在投标文件中未对应出现或在投标文件中存在自相矛</w:t>
            </w:r>
          </w:p>
          <w:p>
            <w:pPr>
              <w:widowControl/>
              <w:wordWrap w:val="0"/>
              <w:spacing w:line="270" w:lineRule="atLeast"/>
              <w:jc w:val="left"/>
              <w:rPr>
                <w:rFonts w:hint="eastAsia" w:ascii="仿宋" w:hAnsi="仿宋" w:eastAsia="仿宋" w:cs="宋体"/>
                <w:color w:val="000000"/>
                <w:kern w:val="0"/>
                <w:sz w:val="22"/>
              </w:rPr>
            </w:pPr>
            <w:r>
              <w:rPr>
                <w:rFonts w:hint="eastAsia" w:ascii="宋体" w:hAnsi="宋体" w:eastAsia="宋体" w:cs="宋体"/>
                <w:color w:val="000000"/>
                <w:kern w:val="0"/>
                <w:sz w:val="18"/>
                <w:szCs w:val="18"/>
              </w:rPr>
              <w:t>盾之处或未提供的不得分。</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hint="eastAsia" w:ascii="仿宋" w:hAnsi="仿宋" w:eastAsia="仿宋" w:cs="宋体"/>
                <w:color w:val="000000"/>
                <w:kern w:val="0"/>
                <w:sz w:val="22"/>
              </w:rPr>
            </w:pPr>
          </w:p>
        </w:tc>
      </w:tr>
      <w:tr>
        <w:tblPrEx>
          <w:shd w:val="clear" w:color="auto" w:fill="FFFFFF"/>
          <w:tblCellMar>
            <w:top w:w="0" w:type="dxa"/>
            <w:left w:w="0" w:type="dxa"/>
            <w:bottom w:w="0" w:type="dxa"/>
            <w:right w:w="0" w:type="dxa"/>
          </w:tblCellMar>
        </w:tblPrEx>
        <w:trPr>
          <w:trHeight w:val="1395" w:hRule="atLeast"/>
        </w:trPr>
        <w:tc>
          <w:tcPr>
            <w:tcW w:w="53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仿宋" w:hAnsi="仿宋" w:eastAsia="仿宋" w:cs="宋体"/>
                <w:color w:val="000000"/>
                <w:kern w:val="0"/>
                <w:sz w:val="22"/>
              </w:rPr>
            </w:pPr>
            <w:r>
              <w:rPr>
                <w:rFonts w:hint="eastAsia" w:ascii="宋体" w:hAnsi="宋体" w:eastAsia="宋体" w:cs="宋体"/>
                <w:color w:val="000000"/>
                <w:kern w:val="0"/>
                <w:sz w:val="18"/>
                <w:szCs w:val="18"/>
              </w:rPr>
              <w:t>3</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样品评分</w:t>
            </w:r>
          </w:p>
          <w:p>
            <w:pPr>
              <w:widowControl/>
              <w:wordWrap w:val="0"/>
              <w:spacing w:line="270" w:lineRule="atLeast"/>
              <w:jc w:val="center"/>
              <w:rPr>
                <w:rFonts w:hint="eastAsia" w:ascii="仿宋" w:hAnsi="仿宋" w:eastAsia="仿宋" w:cs="宋体"/>
                <w:color w:val="000000"/>
                <w:kern w:val="0"/>
                <w:sz w:val="22"/>
              </w:rPr>
            </w:pPr>
            <w:r>
              <w:rPr>
                <w:rFonts w:hint="eastAsia" w:ascii="宋体" w:hAnsi="宋体" w:eastAsia="宋体" w:cs="宋体"/>
                <w:color w:val="000000"/>
                <w:kern w:val="0"/>
                <w:sz w:val="18"/>
                <w:szCs w:val="18"/>
              </w:rPr>
              <w:t>12%</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仿宋" w:hAnsi="仿宋" w:eastAsia="仿宋" w:cs="宋体"/>
                <w:color w:val="000000"/>
                <w:kern w:val="0"/>
                <w:sz w:val="22"/>
              </w:rPr>
            </w:pPr>
            <w:r>
              <w:rPr>
                <w:rFonts w:hint="eastAsia" w:ascii="宋体" w:hAnsi="宋体" w:eastAsia="宋体" w:cs="宋体"/>
                <w:color w:val="000000"/>
                <w:kern w:val="0"/>
                <w:sz w:val="18"/>
                <w:szCs w:val="18"/>
              </w:rPr>
              <w:t>12</w:t>
            </w:r>
          </w:p>
        </w:tc>
        <w:tc>
          <w:tcPr>
            <w:tcW w:w="43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仿宋" w:hAnsi="仿宋" w:eastAsia="仿宋" w:cs="宋体"/>
                <w:color w:val="000000"/>
                <w:kern w:val="0"/>
                <w:sz w:val="22"/>
              </w:rPr>
            </w:pPr>
            <w:r>
              <w:rPr>
                <w:rFonts w:hint="eastAsia" w:ascii="宋体" w:hAnsi="宋体" w:eastAsia="宋体" w:cs="宋体"/>
                <w:color w:val="000000"/>
                <w:kern w:val="0"/>
                <w:sz w:val="18"/>
                <w:szCs w:val="18"/>
              </w:rPr>
              <w:t>提供投标产品样品，根据样品的外观、材质、性能、是否符合临床需求等综合评定，优9-12分；良得5-8分；差得1-4分；未提供样品、样品LOGO等信息遮挡不全的，不得分。</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left"/>
              <w:rPr>
                <w:rFonts w:hint="eastAsia" w:ascii="仿宋" w:hAnsi="仿宋" w:eastAsia="仿宋" w:cs="宋体"/>
                <w:color w:val="000000"/>
                <w:kern w:val="0"/>
                <w:sz w:val="22"/>
              </w:rPr>
            </w:pPr>
            <w:r>
              <w:rPr>
                <w:rFonts w:hint="eastAsia" w:ascii="宋体" w:hAnsi="宋体" w:eastAsia="宋体" w:cs="宋体"/>
                <w:b/>
                <w:bCs/>
                <w:color w:val="000000"/>
                <w:kern w:val="0"/>
                <w:sz w:val="18"/>
                <w:szCs w:val="18"/>
              </w:rPr>
              <w:t>提供的产品样</w:t>
            </w:r>
            <w:r>
              <w:rPr>
                <w:rFonts w:hint="eastAsia" w:ascii="宋体" w:hAnsi="宋体" w:eastAsia="宋体" w:cs="宋体"/>
                <w:b/>
                <w:bCs/>
                <w:color w:val="000000"/>
                <w:kern w:val="0"/>
                <w:sz w:val="18"/>
                <w:szCs w:val="18"/>
                <w:lang w:val="en-US" w:eastAsia="zh-CN"/>
              </w:rPr>
              <w:t>品至少包含复苏囊、喉镜、氧气流量表、中心负压吸引器4种产品。</w:t>
            </w:r>
          </w:p>
        </w:tc>
      </w:tr>
      <w:tr>
        <w:tblPrEx>
          <w:shd w:val="clear" w:color="auto" w:fill="FFFFFF"/>
          <w:tblCellMar>
            <w:top w:w="0" w:type="dxa"/>
            <w:left w:w="0" w:type="dxa"/>
            <w:bottom w:w="0" w:type="dxa"/>
            <w:right w:w="0" w:type="dxa"/>
          </w:tblCellMar>
        </w:tblPrEx>
        <w:trPr>
          <w:trHeight w:val="1395" w:hRule="atLeast"/>
        </w:trPr>
        <w:tc>
          <w:tcPr>
            <w:tcW w:w="53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4</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pacing w:before="156" w:beforeLines="50" w:after="156" w:afterLines="50" w:line="400" w:lineRule="exact"/>
              <w:jc w:val="center"/>
              <w:rPr>
                <w:rFonts w:hint="eastAsia" w:ascii="宋体" w:hAnsi="宋体" w:eastAsia="宋体" w:cs="宋体"/>
                <w:color w:val="000000"/>
                <w:kern w:val="0"/>
                <w:sz w:val="18"/>
                <w:szCs w:val="18"/>
              </w:rPr>
            </w:pPr>
            <w:r>
              <w:rPr>
                <w:rFonts w:hint="eastAsia" w:ascii="宋体" w:hAnsi="宋体" w:cs="宋体"/>
                <w:color w:val="000000"/>
                <w:kern w:val="0"/>
                <w:sz w:val="18"/>
                <w:szCs w:val="18"/>
              </w:rPr>
              <w:t>业绩</w:t>
            </w:r>
            <w:r>
              <w:rPr>
                <w:rFonts w:hint="eastAsia" w:ascii="宋体" w:hAnsi="宋体" w:cs="宋体"/>
                <w:color w:val="000000"/>
                <w:kern w:val="0"/>
                <w:sz w:val="18"/>
                <w:szCs w:val="18"/>
                <w:lang w:val="en-US" w:eastAsia="zh-CN"/>
              </w:rPr>
              <w:t>54</w:t>
            </w:r>
            <w:r>
              <w:rPr>
                <w:rFonts w:hint="eastAsia" w:ascii="宋体" w:hAnsi="宋体" w:cs="宋体"/>
                <w:color w:val="000000"/>
                <w:kern w:val="0"/>
                <w:sz w:val="18"/>
                <w:szCs w:val="18"/>
              </w:rPr>
              <w:t>%</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pacing w:before="156" w:beforeLines="50" w:after="156" w:afterLines="50" w:line="400" w:lineRule="exact"/>
              <w:jc w:val="center"/>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5</w:t>
            </w:r>
          </w:p>
        </w:tc>
        <w:tc>
          <w:tcPr>
            <w:tcW w:w="43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pacing w:line="40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提供响应产品2019年1月1日以来国内三甲医疗机构业绩证明，每提供1个业绩得1分，最多得</w:t>
            </w: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分。</w:t>
            </w:r>
          </w:p>
          <w:p>
            <w:pPr>
              <w:adjustRightInd w:val="0"/>
              <w:spacing w:line="400" w:lineRule="exact"/>
              <w:jc w:val="left"/>
              <w:rPr>
                <w:rFonts w:hint="eastAsia" w:ascii="宋体" w:hAnsi="宋体" w:eastAsia="宋体" w:cs="宋体"/>
                <w:color w:val="000000"/>
                <w:kern w:val="0"/>
                <w:sz w:val="18"/>
                <w:szCs w:val="18"/>
              </w:rPr>
            </w:pPr>
            <w:r>
              <w:rPr>
                <w:rFonts w:hint="eastAsia" w:ascii="宋体" w:hAnsi="宋体" w:cs="宋体"/>
                <w:color w:val="000000"/>
                <w:kern w:val="0"/>
                <w:sz w:val="18"/>
                <w:szCs w:val="18"/>
              </w:rPr>
              <w:t>注：提供销售采购合同或发票复印件加盖投标人公章。非三甲医疗机构业绩证明请勿提供。</w:t>
            </w:r>
          </w:p>
        </w:tc>
        <w:tc>
          <w:tcPr>
            <w:tcW w:w="26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pacing w:before="156" w:beforeLines="50" w:after="156" w:afterLines="50" w:line="40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以下材料均可作为依据：</w:t>
            </w:r>
          </w:p>
          <w:p>
            <w:pPr>
              <w:adjustRightInd w:val="0"/>
              <w:spacing w:before="156" w:beforeLines="50" w:after="156" w:afterLines="50" w:line="40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1.合同复印件；</w:t>
            </w:r>
          </w:p>
          <w:p>
            <w:pPr>
              <w:adjustRightInd w:val="0"/>
              <w:spacing w:before="156" w:beforeLines="50" w:after="156" w:afterLines="50" w:line="400" w:lineRule="exact"/>
              <w:jc w:val="left"/>
              <w:rPr>
                <w:rFonts w:hint="eastAsia" w:ascii="宋体" w:hAnsi="宋体" w:eastAsia="宋体" w:cs="宋体"/>
                <w:b/>
                <w:bCs/>
                <w:color w:val="000000"/>
                <w:kern w:val="0"/>
                <w:sz w:val="18"/>
                <w:szCs w:val="18"/>
              </w:rPr>
            </w:pPr>
            <w:r>
              <w:rPr>
                <w:rFonts w:hint="eastAsia" w:ascii="宋体" w:hAnsi="宋体" w:cs="宋体"/>
                <w:color w:val="000000"/>
                <w:kern w:val="0"/>
                <w:sz w:val="18"/>
                <w:szCs w:val="18"/>
              </w:rPr>
              <w:t>2.发票复印件（若发票复印件上无产品明细则需附销货清单）；</w:t>
            </w:r>
          </w:p>
        </w:tc>
      </w:tr>
      <w:tr>
        <w:tblPrEx>
          <w:shd w:val="clear" w:color="auto" w:fill="FFFFFF"/>
          <w:tblCellMar>
            <w:top w:w="0" w:type="dxa"/>
            <w:left w:w="0" w:type="dxa"/>
            <w:bottom w:w="0" w:type="dxa"/>
            <w:right w:w="0" w:type="dxa"/>
          </w:tblCellMar>
        </w:tblPrEx>
        <w:trPr>
          <w:trHeight w:val="1256" w:hRule="atLeast"/>
        </w:trPr>
        <w:tc>
          <w:tcPr>
            <w:tcW w:w="532"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spacing w:line="270" w:lineRule="atLeast"/>
              <w:jc w:val="center"/>
              <w:rPr>
                <w:rFonts w:hint="eastAsia" w:ascii="仿宋" w:hAnsi="仿宋" w:eastAsia="仿宋" w:cs="宋体"/>
                <w:color w:val="000000"/>
                <w:kern w:val="0"/>
                <w:sz w:val="22"/>
              </w:rPr>
            </w:pPr>
            <w:r>
              <w:rPr>
                <w:rFonts w:hint="eastAsia" w:ascii="宋体" w:hAnsi="宋体" w:cs="宋体"/>
                <w:color w:val="000000"/>
                <w:kern w:val="0"/>
                <w:sz w:val="18"/>
                <w:szCs w:val="18"/>
                <w:lang w:val="en-US" w:eastAsia="zh-CN"/>
              </w:rPr>
              <w:t>5</w:t>
            </w:r>
          </w:p>
        </w:tc>
        <w:tc>
          <w:tcPr>
            <w:tcW w:w="994"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adjustRightInd w:val="0"/>
              <w:spacing w:line="400" w:lineRule="exact"/>
              <w:jc w:val="center"/>
              <w:rPr>
                <w:rFonts w:ascii="宋体" w:hAnsi="宋体" w:cs="宋体"/>
                <w:color w:val="000000"/>
                <w:kern w:val="0"/>
                <w:sz w:val="18"/>
                <w:szCs w:val="18"/>
              </w:rPr>
            </w:pPr>
            <w:r>
              <w:rPr>
                <w:rFonts w:hint="eastAsia" w:ascii="宋体" w:hAnsi="宋体" w:cs="宋体"/>
                <w:color w:val="000000"/>
                <w:kern w:val="0"/>
                <w:sz w:val="18"/>
                <w:szCs w:val="18"/>
              </w:rPr>
              <w:t>售后服务方案</w:t>
            </w:r>
          </w:p>
          <w:p>
            <w:pPr>
              <w:adjustRightInd w:val="0"/>
              <w:spacing w:line="400" w:lineRule="exact"/>
              <w:jc w:val="center"/>
              <w:rPr>
                <w:rFonts w:hint="eastAsia" w:ascii="仿宋" w:hAnsi="仿宋" w:eastAsia="仿宋" w:cs="宋体"/>
                <w:color w:val="000000"/>
                <w:kern w:val="0"/>
                <w:sz w:val="22"/>
              </w:rPr>
            </w:pP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rPr>
              <w:t>%</w:t>
            </w:r>
          </w:p>
        </w:tc>
        <w:tc>
          <w:tcPr>
            <w:tcW w:w="567"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adjustRightInd w:val="0"/>
              <w:spacing w:line="400" w:lineRule="exact"/>
              <w:jc w:val="center"/>
              <w:rPr>
                <w:rFonts w:hint="eastAsia" w:ascii="仿宋" w:hAnsi="仿宋" w:eastAsia="仿宋" w:cs="宋体"/>
                <w:color w:val="000000"/>
                <w:kern w:val="0"/>
                <w:sz w:val="22"/>
              </w:rPr>
            </w:pPr>
            <w:r>
              <w:rPr>
                <w:rFonts w:hint="eastAsia" w:ascii="宋体" w:hAnsi="宋体" w:cs="宋体"/>
                <w:color w:val="000000"/>
                <w:kern w:val="0"/>
                <w:sz w:val="18"/>
                <w:szCs w:val="18"/>
                <w:lang w:val="en-US" w:eastAsia="zh-CN"/>
              </w:rPr>
              <w:t>6</w:t>
            </w:r>
          </w:p>
        </w:tc>
        <w:tc>
          <w:tcPr>
            <w:tcW w:w="4394"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adjustRightInd w:val="0"/>
              <w:spacing w:line="400" w:lineRule="exact"/>
              <w:jc w:val="left"/>
              <w:rPr>
                <w:rFonts w:ascii="宋体" w:hAnsi="宋体" w:cs="宋体"/>
                <w:color w:val="000000"/>
                <w:kern w:val="0"/>
                <w:sz w:val="18"/>
                <w:szCs w:val="18"/>
              </w:rPr>
            </w:pPr>
            <w:r>
              <w:rPr>
                <w:rFonts w:hint="eastAsia" w:ascii="宋体" w:hAnsi="宋体" w:cs="宋体"/>
                <w:color w:val="000000"/>
                <w:kern w:val="0"/>
                <w:sz w:val="18"/>
                <w:szCs w:val="18"/>
              </w:rPr>
              <w:t>根据供应商提供的售后服务方案，包含：①质量保障方案；②技术支持方案；③应急方案；④服务响应方案。方案包含以上4个方面的得</w:t>
            </w: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rPr>
              <w:t>分，每缺少一项的扣</w:t>
            </w:r>
            <w:r>
              <w:rPr>
                <w:rFonts w:hint="eastAsia" w:ascii="宋体" w:hAnsi="宋体" w:cs="宋体"/>
                <w:color w:val="000000"/>
                <w:kern w:val="0"/>
                <w:sz w:val="18"/>
                <w:szCs w:val="18"/>
                <w:lang w:val="en-US" w:eastAsia="zh-CN"/>
              </w:rPr>
              <w:t>1.5</w:t>
            </w:r>
            <w:r>
              <w:rPr>
                <w:rFonts w:hint="eastAsia" w:ascii="宋体" w:hAnsi="宋体" w:cs="宋体"/>
                <w:color w:val="000000"/>
                <w:kern w:val="0"/>
                <w:sz w:val="18"/>
                <w:szCs w:val="18"/>
              </w:rPr>
              <w:t>分，每有一项存在内容缺陷扣</w:t>
            </w: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分，扣完为止。</w:t>
            </w:r>
          </w:p>
          <w:p>
            <w:pPr>
              <w:adjustRightInd w:val="0"/>
              <w:spacing w:line="400" w:lineRule="exact"/>
              <w:jc w:val="left"/>
              <w:rPr>
                <w:rFonts w:hint="eastAsia" w:ascii="仿宋" w:hAnsi="仿宋" w:eastAsia="仿宋" w:cs="宋体"/>
                <w:color w:val="000000"/>
                <w:kern w:val="0"/>
                <w:sz w:val="22"/>
              </w:rPr>
            </w:pPr>
            <w:r>
              <w:rPr>
                <w:rFonts w:hint="eastAsia" w:ascii="宋体" w:hAnsi="宋体" w:cs="宋体"/>
                <w:color w:val="000000"/>
                <w:kern w:val="0"/>
                <w:sz w:val="18"/>
                <w:szCs w:val="18"/>
              </w:rPr>
              <w:t>注：内容缺陷是指非专门针对本项目或不适用项目特性的情形、内容不完整或缺少关键节点、套用其他项目内容、内容前后矛盾、涉及的规范及标准错误、不利于项目实施、不可能实现的情形等任意一种情形。</w:t>
            </w:r>
          </w:p>
        </w:tc>
        <w:tc>
          <w:tcPr>
            <w:tcW w:w="2693"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adjustRightInd w:val="0"/>
              <w:spacing w:line="400" w:lineRule="exact"/>
              <w:jc w:val="center"/>
              <w:rPr>
                <w:rFonts w:hint="eastAsia" w:ascii="仿宋" w:hAnsi="仿宋" w:eastAsia="仿宋" w:cs="宋体"/>
                <w:color w:val="000000"/>
                <w:kern w:val="0"/>
                <w:sz w:val="22"/>
              </w:rPr>
            </w:pPr>
          </w:p>
        </w:tc>
      </w:tr>
    </w:tbl>
    <w:p>
      <w:pPr>
        <w:widowControl/>
        <w:shd w:val="clear" w:color="auto" w:fill="FFFFFF"/>
        <w:wordWrap w:val="0"/>
        <w:spacing w:line="400" w:lineRule="atLeast"/>
        <w:jc w:val="left"/>
        <w:rPr>
          <w:rFonts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6"/>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6"/>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6"/>
        <w:tblW w:w="9276" w:type="dxa"/>
        <w:tblInd w:w="0" w:type="dxa"/>
        <w:shd w:val="clear" w:color="auto" w:fill="FFFFFF"/>
        <w:tblLayout w:type="autofit"/>
        <w:tblCellMar>
          <w:top w:w="0" w:type="dxa"/>
          <w:left w:w="0" w:type="dxa"/>
          <w:bottom w:w="0" w:type="dxa"/>
          <w:right w:w="0" w:type="dxa"/>
        </w:tblCellMar>
      </w:tblPr>
      <w:tblGrid>
        <w:gridCol w:w="466"/>
        <w:gridCol w:w="1036"/>
        <w:gridCol w:w="1158"/>
        <w:gridCol w:w="974"/>
        <w:gridCol w:w="567"/>
        <w:gridCol w:w="1276"/>
        <w:gridCol w:w="936"/>
        <w:gridCol w:w="936"/>
        <w:gridCol w:w="947"/>
        <w:gridCol w:w="19"/>
        <w:gridCol w:w="961"/>
      </w:tblGrid>
      <w:tr>
        <w:tblPrEx>
          <w:tblCellMar>
            <w:top w:w="0" w:type="dxa"/>
            <w:left w:w="0" w:type="dxa"/>
            <w:bottom w:w="0" w:type="dxa"/>
            <w:right w:w="0" w:type="dxa"/>
          </w:tblCellMar>
        </w:tblPrEx>
        <w:trPr>
          <w:trHeight w:val="735" w:hRule="atLeast"/>
        </w:trPr>
        <w:tc>
          <w:tcPr>
            <w:tcW w:w="46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3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名称</w:t>
            </w:r>
          </w:p>
        </w:tc>
        <w:tc>
          <w:tcPr>
            <w:tcW w:w="115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97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包装（小）规格、型号</w:t>
            </w:r>
          </w:p>
        </w:tc>
        <w:tc>
          <w:tcPr>
            <w:tcW w:w="56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成交单价（元）</w:t>
            </w:r>
          </w:p>
        </w:tc>
        <w:tc>
          <w:tcPr>
            <w:tcW w:w="936" w:type="dxa"/>
            <w:tcBorders>
              <w:top w:val="single" w:color="auto" w:sz="8" w:space="0"/>
              <w:left w:val="single" w:color="auto" w:sz="4" w:space="0"/>
              <w:bottom w:val="single" w:color="auto" w:sz="8" w:space="0"/>
              <w:right w:val="single" w:color="auto" w:sz="4" w:space="0"/>
            </w:tcBorders>
            <w:shd w:val="clear" w:color="auto" w:fill="FFFFFF"/>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w:t>
            </w:r>
          </w:p>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均价</w:t>
            </w:r>
          </w:p>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（元）</w:t>
            </w:r>
          </w:p>
        </w:tc>
        <w:tc>
          <w:tcPr>
            <w:tcW w:w="936" w:type="dxa"/>
            <w:tcBorders>
              <w:top w:val="single" w:color="auto" w:sz="8" w:space="0"/>
              <w:left w:val="single" w:color="auto" w:sz="4" w:space="0"/>
              <w:bottom w:val="single" w:color="auto" w:sz="8" w:space="0"/>
              <w:right w:val="single" w:color="auto" w:sz="8" w:space="0"/>
            </w:tcBorders>
            <w:shd w:val="clear" w:color="auto" w:fill="FFFFFF"/>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年度预计用量(个)</w:t>
            </w:r>
          </w:p>
        </w:tc>
        <w:tc>
          <w:tcPr>
            <w:tcW w:w="947" w:type="dxa"/>
            <w:tcBorders>
              <w:top w:val="single" w:color="auto" w:sz="8" w:space="0"/>
              <w:left w:val="nil"/>
              <w:bottom w:val="single" w:color="auto" w:sz="8" w:space="0"/>
              <w:right w:val="single" w:color="auto" w:sz="4" w:space="0"/>
            </w:tcBorders>
            <w:shd w:val="clear" w:color="auto" w:fill="FFFFFF"/>
            <w:vAlign w:val="center"/>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成交总价（元）</w:t>
            </w:r>
          </w:p>
        </w:tc>
        <w:tc>
          <w:tcPr>
            <w:tcW w:w="19" w:type="dxa"/>
            <w:tcBorders>
              <w:top w:val="single" w:color="auto" w:sz="8" w:space="0"/>
              <w:left w:val="single" w:color="auto" w:sz="4" w:space="0"/>
              <w:bottom w:val="single" w:color="auto" w:sz="8" w:space="0"/>
              <w:right w:val="nil"/>
            </w:tcBorders>
            <w:shd w:val="clear" w:color="auto" w:fill="FFFFFF"/>
            <w:vAlign w:val="center"/>
          </w:tcPr>
          <w:p>
            <w:pPr>
              <w:widowControl/>
              <w:jc w:val="center"/>
              <w:rPr>
                <w:rFonts w:ascii="仿宋_GB2312" w:hAnsi="Segoe UI" w:eastAsia="仿宋_GB2312" w:cs="Segoe UI"/>
                <w:color w:val="333333"/>
                <w:kern w:val="0"/>
                <w:sz w:val="24"/>
                <w:szCs w:val="24"/>
              </w:rPr>
            </w:pPr>
          </w:p>
        </w:tc>
        <w:tc>
          <w:tcPr>
            <w:tcW w:w="96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商品</w:t>
            </w:r>
          </w:p>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代码</w:t>
            </w:r>
          </w:p>
        </w:tc>
      </w:tr>
      <w:tr>
        <w:tblPrEx>
          <w:tblCellMar>
            <w:top w:w="0" w:type="dxa"/>
            <w:left w:w="0" w:type="dxa"/>
            <w:bottom w:w="0" w:type="dxa"/>
            <w:right w:w="0" w:type="dxa"/>
          </w:tblCellMar>
        </w:tblPrEx>
        <w:trPr>
          <w:trHeight w:val="392" w:hRule="atLeast"/>
        </w:trPr>
        <w:tc>
          <w:tcPr>
            <w:tcW w:w="46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1</w:t>
            </w:r>
          </w:p>
        </w:tc>
        <w:tc>
          <w:tcPr>
            <w:tcW w:w="10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9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936" w:type="dxa"/>
            <w:tcBorders>
              <w:top w:val="nil"/>
              <w:left w:val="single" w:color="auto" w:sz="4" w:space="0"/>
              <w:bottom w:val="single" w:color="auto" w:sz="8" w:space="0"/>
              <w:right w:val="single" w:color="auto" w:sz="4" w:space="0"/>
            </w:tcBorders>
            <w:shd w:val="clear" w:color="auto" w:fill="FFFFFF"/>
            <w:vAlign w:val="center"/>
          </w:tcPr>
          <w:p>
            <w:pPr>
              <w:widowControl/>
              <w:jc w:val="center"/>
              <w:rPr>
                <w:rFonts w:ascii="仿宋" w:hAnsi="仿宋" w:eastAsia="仿宋" w:cs="宋体"/>
                <w:color w:val="000000"/>
                <w:kern w:val="0"/>
                <w:sz w:val="24"/>
              </w:rPr>
            </w:pPr>
          </w:p>
        </w:tc>
        <w:tc>
          <w:tcPr>
            <w:tcW w:w="936" w:type="dxa"/>
            <w:tcBorders>
              <w:top w:val="nil"/>
              <w:left w:val="single" w:color="auto" w:sz="4" w:space="0"/>
              <w:bottom w:val="single" w:color="auto" w:sz="8" w:space="0"/>
              <w:right w:val="single" w:color="auto" w:sz="8" w:space="0"/>
            </w:tcBorders>
            <w:shd w:val="clear" w:color="auto" w:fill="FFFFFF"/>
            <w:vAlign w:val="center"/>
          </w:tcPr>
          <w:p>
            <w:pPr>
              <w:widowControl/>
              <w:jc w:val="center"/>
              <w:rPr>
                <w:rFonts w:hint="default" w:ascii="仿宋" w:hAnsi="仿宋" w:eastAsia="仿宋" w:cs="宋体"/>
                <w:color w:val="000000"/>
                <w:kern w:val="0"/>
                <w:sz w:val="22"/>
                <w:lang w:val="en-US" w:eastAsia="zh-CN"/>
              </w:rPr>
            </w:pPr>
          </w:p>
        </w:tc>
        <w:tc>
          <w:tcPr>
            <w:tcW w:w="947" w:type="dxa"/>
            <w:tcBorders>
              <w:top w:val="nil"/>
              <w:left w:val="nil"/>
              <w:bottom w:val="single" w:color="auto" w:sz="8" w:space="0"/>
              <w:right w:val="single" w:color="auto" w:sz="4" w:space="0"/>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19" w:type="dxa"/>
            <w:tcBorders>
              <w:top w:val="nil"/>
              <w:left w:val="single" w:color="auto" w:sz="4" w:space="0"/>
              <w:bottom w:val="single" w:color="auto" w:sz="8" w:space="0"/>
              <w:right w:val="nil"/>
            </w:tcBorders>
            <w:shd w:val="clear" w:color="auto" w:fill="FFFFFF"/>
            <w:vAlign w:val="center"/>
          </w:tcPr>
          <w:p>
            <w:pPr>
              <w:widowControl/>
              <w:wordWrap w:val="0"/>
              <w:jc w:val="center"/>
              <w:rPr>
                <w:rFonts w:ascii="宋体" w:hAnsi="宋体" w:eastAsia="宋体" w:cs="Segoe UI"/>
                <w:color w:val="333333"/>
                <w:kern w:val="0"/>
                <w:sz w:val="24"/>
                <w:szCs w:val="24"/>
              </w:rPr>
            </w:pPr>
          </w:p>
        </w:tc>
        <w:tc>
          <w:tcPr>
            <w:tcW w:w="96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r>
      <w:tr>
        <w:tblPrEx>
          <w:shd w:val="clear" w:color="auto" w:fill="FFFFFF"/>
          <w:tblCellMar>
            <w:top w:w="0" w:type="dxa"/>
            <w:left w:w="0" w:type="dxa"/>
            <w:bottom w:w="0" w:type="dxa"/>
            <w:right w:w="0" w:type="dxa"/>
          </w:tblCellMar>
        </w:tblPrEx>
        <w:trPr>
          <w:trHeight w:val="768" w:hRule="atLeast"/>
        </w:trPr>
        <w:tc>
          <w:tcPr>
            <w:tcW w:w="6413"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成交总价（元）</w:t>
            </w:r>
          </w:p>
        </w:tc>
        <w:tc>
          <w:tcPr>
            <w:tcW w:w="2863" w:type="dxa"/>
            <w:gridSpan w:val="4"/>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b/>
          <w:color w:val="333333"/>
          <w:kern w:val="0"/>
          <w:sz w:val="24"/>
          <w:szCs w:val="24"/>
        </w:rPr>
        <w:t>6、如有多种规格，请按每种规格分别报价，产品的最终计算单价以不同规格报价的均价为准。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hint="default"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lang w:val="en-US" w:eastAsia="zh-CN"/>
        </w:rPr>
        <w:t>授权代表签字：</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r>
        <w:rPr>
          <w:rFonts w:hint="eastAsia" w:ascii="仿宋_GB2312" w:hAnsi="Segoe UI" w:eastAsia="仿宋_GB2312" w:cs="Segoe UI"/>
          <w:color w:val="333333"/>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附件6：</w:t>
      </w:r>
    </w:p>
    <w:p>
      <w:pPr>
        <w:pStyle w:val="2"/>
        <w:ind w:firstLine="2100" w:firstLineChars="750"/>
        <w:rPr>
          <w:rFonts w:ascii="长城小标宋体" w:hAnsi="仿宋" w:eastAsia="长城小标宋体"/>
          <w:color w:val="000000" w:themeColor="text1"/>
          <w:sz w:val="28"/>
          <w:szCs w:val="22"/>
        </w:rPr>
      </w:pPr>
      <w:r>
        <w:rPr>
          <w:rFonts w:hint="eastAsia" w:ascii="长城小标宋体" w:hAnsi="仿宋" w:eastAsia="长城小标宋体"/>
          <w:color w:val="000000" w:themeColor="text1"/>
          <w:sz w:val="28"/>
          <w:szCs w:val="22"/>
        </w:rPr>
        <w:t xml:space="preserve"> 无围标、串标行为承诺书</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1.不同供应商的投标文件由同一单位或者个人编制；</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2.不同供应商委托同一单位或者个人办理投标事宜；</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3.不同供应商的投标文件载明的项目管理成员或者联系人员为同一人；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4.不同供应商的投标文件异常一致或者投标报价呈规律性差异；</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5.不同供应商的投标文件相互混装；</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6.不同供应商的投标保证金从同一单位或者个人的账户转出；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8.供应商之间事先约定由某一特定供应商中标、成交；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9.供应商之间商定部分供应商放弃参加采购活动或者放弃中标、成交；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10.法律法规界定的其他围标串标行为。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投标人法人代表或委托代理人（承诺人）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 xml:space="preserve">投标人：（公章）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日期：   年    月    日</w:t>
      </w: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长城小标宋体">
    <w:altName w:val="宋体"/>
    <w:panose1 w:val="0201060901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70970"/>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31F69B4"/>
    <w:rsid w:val="086E5CAC"/>
    <w:rsid w:val="09883DB3"/>
    <w:rsid w:val="0D6476EC"/>
    <w:rsid w:val="15BA3173"/>
    <w:rsid w:val="1A707F41"/>
    <w:rsid w:val="1AFC364C"/>
    <w:rsid w:val="1DE05766"/>
    <w:rsid w:val="1E997E27"/>
    <w:rsid w:val="20A310AC"/>
    <w:rsid w:val="21C85B80"/>
    <w:rsid w:val="22827069"/>
    <w:rsid w:val="25933A00"/>
    <w:rsid w:val="29392A52"/>
    <w:rsid w:val="30C531AE"/>
    <w:rsid w:val="33C44F97"/>
    <w:rsid w:val="36341AC5"/>
    <w:rsid w:val="395149AF"/>
    <w:rsid w:val="3FE620CF"/>
    <w:rsid w:val="433014DA"/>
    <w:rsid w:val="498F251D"/>
    <w:rsid w:val="5F8F2B6C"/>
    <w:rsid w:val="60EA5BAE"/>
    <w:rsid w:val="63360A0A"/>
    <w:rsid w:val="670D4F6B"/>
    <w:rsid w:val="7ED46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2"/>
    <w:unhideWhenUsed/>
    <w:qFormat/>
    <w:uiPriority w:val="99"/>
    <w:pPr>
      <w:spacing w:after="120"/>
    </w:pPr>
    <w:rPr>
      <w:szCs w:val="24"/>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semiHidden/>
    <w:uiPriority w:val="99"/>
    <w:rPr>
      <w:sz w:val="18"/>
      <w:szCs w:val="18"/>
    </w:rPr>
  </w:style>
  <w:style w:type="character" w:customStyle="1" w:styleId="10">
    <w:name w:val="页脚 Char"/>
    <w:basedOn w:val="8"/>
    <w:link w:val="3"/>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正文文本 Char"/>
    <w:basedOn w:val="8"/>
    <w:link w:val="2"/>
    <w:qFormat/>
    <w:uiPriority w:val="99"/>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Normal.dotm</Template>
  <Pages>8</Pages>
  <Words>763</Words>
  <Characters>4350</Characters>
  <Lines>36</Lines>
  <Paragraphs>10</Paragraphs>
  <TotalTime>0</TotalTime>
  <ScaleCrop>false</ScaleCrop>
  <LinksUpToDate>false</LinksUpToDate>
  <CharactersWithSpaces>5103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Administrator</cp:lastModifiedBy>
  <cp:lastPrinted>2023-01-06T08:18:00Z</cp:lastPrinted>
  <dcterms:modified xsi:type="dcterms:W3CDTF">2023-02-20T00:22:36Z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