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ascii="仿宋_GB2312" w:hAnsi="仿宋_GB2312" w:eastAsia="仿宋_GB2312" w:cs="仿宋_GB2312"/>
          <w:b/>
          <w:bCs/>
          <w:kern w:val="0"/>
          <w:sz w:val="32"/>
          <w:szCs w:val="32"/>
          <w:lang w:eastAsia="zh-CN" w:bidi="ar"/>
        </w:rPr>
      </w:pPr>
      <w:r>
        <w:rPr>
          <w:rFonts w:hint="default" w:ascii="仿宋_GB2312" w:hAnsi="仿宋_GB2312" w:eastAsia="仿宋_GB2312" w:cs="仿宋_GB2312"/>
          <w:b/>
          <w:bCs/>
          <w:kern w:val="0"/>
          <w:sz w:val="32"/>
          <w:szCs w:val="32"/>
          <w:lang w:eastAsia="zh-CN" w:bidi="ar"/>
        </w:rPr>
        <w:t>评分方法及细则</w:t>
      </w:r>
    </w:p>
    <w:tbl>
      <w:tblPr>
        <w:tblStyle w:val="3"/>
        <w:tblW w:w="93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61"/>
        <w:gridCol w:w="1632"/>
        <w:gridCol w:w="1019"/>
        <w:gridCol w:w="5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1361"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ind w:left="0" w:right="0"/>
              <w:jc w:val="center"/>
              <w:textAlignment w:val="bottom"/>
              <w:rPr>
                <w:rFonts w:hint="default" w:ascii="黑体" w:hAnsi="宋体" w:eastAsia="黑体" w:cs="宋体"/>
                <w:kern w:val="0"/>
                <w:sz w:val="24"/>
                <w:szCs w:val="24"/>
              </w:rPr>
            </w:pPr>
            <w:r>
              <w:rPr>
                <w:rFonts w:hint="default" w:ascii="黑体" w:hAnsi="宋体" w:eastAsia="黑体" w:cs="黑体"/>
                <w:bCs/>
                <w:kern w:val="0"/>
                <w:sz w:val="24"/>
                <w:szCs w:val="24"/>
                <w:lang w:val="en-US" w:eastAsia="zh-CN" w:bidi="ar"/>
              </w:rPr>
              <w:t>评分因素</w:t>
            </w:r>
          </w:p>
        </w:tc>
        <w:tc>
          <w:tcPr>
            <w:tcW w:w="1632"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ind w:left="0" w:right="0"/>
              <w:jc w:val="center"/>
              <w:textAlignment w:val="bottom"/>
              <w:rPr>
                <w:rFonts w:hint="default" w:ascii="黑体" w:hAnsi="宋体" w:eastAsia="黑体" w:cs="宋体"/>
                <w:kern w:val="0"/>
                <w:sz w:val="24"/>
                <w:szCs w:val="24"/>
              </w:rPr>
            </w:pPr>
            <w:r>
              <w:rPr>
                <w:rFonts w:hint="default" w:ascii="黑体" w:hAnsi="宋体" w:eastAsia="黑体" w:cs="黑体"/>
                <w:bCs/>
                <w:kern w:val="0"/>
                <w:sz w:val="24"/>
                <w:szCs w:val="24"/>
                <w:lang w:val="en-US" w:eastAsia="zh-CN" w:bidi="ar"/>
              </w:rPr>
              <w:t>评审项目</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ind w:left="0" w:right="0"/>
              <w:jc w:val="center"/>
              <w:textAlignment w:val="bottom"/>
              <w:rPr>
                <w:rFonts w:hint="default" w:ascii="黑体" w:hAnsi="宋体" w:eastAsia="黑体" w:cs="宋体"/>
                <w:kern w:val="0"/>
                <w:sz w:val="24"/>
                <w:szCs w:val="24"/>
              </w:rPr>
            </w:pPr>
            <w:r>
              <w:rPr>
                <w:rFonts w:hint="default" w:ascii="黑体" w:hAnsi="宋体" w:eastAsia="黑体" w:cs="黑体"/>
                <w:bCs/>
                <w:kern w:val="0"/>
                <w:sz w:val="24"/>
                <w:szCs w:val="24"/>
                <w:lang w:val="en-US" w:eastAsia="zh-CN" w:bidi="ar"/>
              </w:rPr>
              <w:t>分值</w:t>
            </w:r>
          </w:p>
        </w:tc>
        <w:tc>
          <w:tcPr>
            <w:tcW w:w="5325"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ind w:left="0" w:right="0"/>
              <w:jc w:val="center"/>
              <w:textAlignment w:val="bottom"/>
              <w:rPr>
                <w:rFonts w:hint="default" w:ascii="黑体" w:hAnsi="宋体" w:eastAsia="黑体" w:cs="宋体"/>
                <w:kern w:val="0"/>
                <w:sz w:val="24"/>
                <w:szCs w:val="24"/>
              </w:rPr>
            </w:pPr>
            <w:r>
              <w:rPr>
                <w:rFonts w:hint="default" w:ascii="黑体" w:hAnsi="宋体" w:eastAsia="黑体" w:cs="黑体"/>
                <w:bCs/>
                <w:kern w:val="0"/>
                <w:sz w:val="24"/>
                <w:szCs w:val="24"/>
                <w:lang w:val="en-US" w:eastAsia="zh-CN" w:bidi="ar"/>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635" w:hRule="atLeast"/>
          <w:jc w:val="center"/>
        </w:trPr>
        <w:tc>
          <w:tcPr>
            <w:tcW w:w="1361"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实力</w:t>
            </w:r>
          </w:p>
        </w:tc>
        <w:tc>
          <w:tcPr>
            <w:tcW w:w="1632"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业绩情况</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20</w:t>
            </w:r>
          </w:p>
        </w:tc>
        <w:tc>
          <w:tcPr>
            <w:tcW w:w="5325"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both"/>
              <w:textAlignment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提供</w:t>
            </w:r>
            <w:r>
              <w:rPr>
                <w:rFonts w:hint="default" w:ascii="仿宋_GB2312" w:hAnsi="宋体" w:eastAsia="仿宋_GB2312" w:cs="宋体"/>
                <w:kern w:val="0"/>
                <w:sz w:val="24"/>
                <w:szCs w:val="24"/>
                <w:lang w:val="en-US" w:eastAsia="zh-CN" w:bidi="ar"/>
              </w:rPr>
              <w:t>20</w:t>
            </w:r>
            <w:r>
              <w:rPr>
                <w:rFonts w:hint="eastAsia" w:ascii="仿宋_GB2312" w:hAnsi="宋体" w:eastAsia="仿宋_GB2312" w:cs="宋体"/>
                <w:kern w:val="0"/>
                <w:sz w:val="24"/>
                <w:szCs w:val="24"/>
                <w:lang w:val="en-US" w:eastAsia="zh-CN" w:bidi="ar"/>
              </w:rPr>
              <w:t>20年</w:t>
            </w:r>
            <w:r>
              <w:rPr>
                <w:rFonts w:hint="default" w:ascii="仿宋_GB2312" w:hAnsi="宋体" w:eastAsia="仿宋_GB2312" w:cs="宋体"/>
                <w:kern w:val="0"/>
                <w:sz w:val="24"/>
                <w:szCs w:val="24"/>
                <w:lang w:val="en-US" w:eastAsia="zh-CN" w:bidi="ar"/>
              </w:rPr>
              <w:t>至今服务合同，</w:t>
            </w:r>
            <w:r>
              <w:rPr>
                <w:rFonts w:hint="eastAsia" w:ascii="仿宋_GB2312" w:hAnsi="宋体" w:eastAsia="仿宋_GB2312" w:cs="宋体"/>
                <w:kern w:val="0"/>
                <w:sz w:val="24"/>
                <w:szCs w:val="24"/>
                <w:lang w:val="en-US" w:eastAsia="zh-CN" w:bidi="ar"/>
              </w:rPr>
              <w:t>其中：</w:t>
            </w:r>
            <w:r>
              <w:rPr>
                <w:rFonts w:hint="default" w:ascii="仿宋_GB2312" w:hAnsi="宋体" w:eastAsia="仿宋_GB2312" w:cs="宋体"/>
                <w:kern w:val="0"/>
                <w:sz w:val="24"/>
                <w:szCs w:val="24"/>
                <w:lang w:val="en-US" w:eastAsia="zh-CN" w:bidi="ar"/>
              </w:rPr>
              <w:t>客户为</w:t>
            </w:r>
            <w:r>
              <w:rPr>
                <w:rFonts w:hint="eastAsia" w:ascii="仿宋_GB2312" w:hAnsi="宋体" w:eastAsia="仿宋_GB2312" w:cs="宋体"/>
                <w:kern w:val="0"/>
                <w:sz w:val="24"/>
                <w:szCs w:val="24"/>
                <w:lang w:val="en-US" w:eastAsia="zh-CN" w:bidi="ar"/>
              </w:rPr>
              <w:t>医疗机构</w:t>
            </w:r>
            <w:r>
              <w:rPr>
                <w:rFonts w:hint="default" w:ascii="仿宋_GB2312" w:hAnsi="宋体" w:eastAsia="仿宋_GB2312" w:cs="宋体"/>
                <w:kern w:val="0"/>
                <w:sz w:val="24"/>
                <w:szCs w:val="24"/>
                <w:lang w:val="en-US" w:eastAsia="zh-CN" w:bidi="ar"/>
              </w:rPr>
              <w:t>的合同，一份得</w:t>
            </w:r>
            <w:r>
              <w:rPr>
                <w:rFonts w:hint="eastAsia" w:ascii="仿宋_GB2312" w:hAnsi="宋体" w:eastAsia="仿宋_GB2312" w:cs="宋体"/>
                <w:kern w:val="0"/>
                <w:sz w:val="24"/>
                <w:szCs w:val="24"/>
                <w:lang w:val="en-US" w:eastAsia="zh-CN" w:bidi="ar"/>
              </w:rPr>
              <w:t>5</w:t>
            </w:r>
            <w:r>
              <w:rPr>
                <w:rFonts w:hint="default" w:ascii="仿宋_GB2312" w:hAnsi="宋体" w:eastAsia="仿宋_GB2312" w:cs="宋体"/>
                <w:kern w:val="0"/>
                <w:sz w:val="24"/>
                <w:szCs w:val="24"/>
                <w:lang w:val="en-US" w:eastAsia="zh-CN" w:bidi="ar"/>
              </w:rPr>
              <w:t>分，客户为</w:t>
            </w:r>
            <w:r>
              <w:rPr>
                <w:rFonts w:hint="eastAsia" w:ascii="仿宋_GB2312" w:hAnsi="宋体" w:eastAsia="仿宋_GB2312" w:cs="宋体"/>
                <w:kern w:val="0"/>
                <w:sz w:val="24"/>
                <w:szCs w:val="24"/>
                <w:lang w:val="en-US" w:eastAsia="zh-CN" w:bidi="ar"/>
              </w:rPr>
              <w:t>其他单位（公司）的合同</w:t>
            </w:r>
            <w:r>
              <w:rPr>
                <w:rFonts w:hint="default" w:ascii="仿宋_GB2312" w:hAnsi="宋体" w:eastAsia="仿宋_GB2312" w:cs="宋体"/>
                <w:kern w:val="0"/>
                <w:sz w:val="24"/>
                <w:szCs w:val="24"/>
                <w:lang w:val="en-US" w:eastAsia="zh-CN" w:bidi="ar"/>
              </w:rPr>
              <w:t>，一份得</w:t>
            </w:r>
            <w:r>
              <w:rPr>
                <w:rFonts w:hint="eastAsia" w:ascii="仿宋_GB2312" w:hAnsi="宋体" w:eastAsia="仿宋_GB2312" w:cs="宋体"/>
                <w:kern w:val="0"/>
                <w:sz w:val="24"/>
                <w:szCs w:val="24"/>
                <w:lang w:val="en-US" w:eastAsia="zh-CN" w:bidi="ar"/>
              </w:rPr>
              <w:t>4</w:t>
            </w:r>
            <w:r>
              <w:rPr>
                <w:rFonts w:hint="default" w:ascii="仿宋_GB2312" w:hAnsi="宋体" w:eastAsia="仿宋_GB2312" w:cs="宋体"/>
                <w:kern w:val="0"/>
                <w:sz w:val="24"/>
                <w:szCs w:val="24"/>
                <w:lang w:val="en-US" w:eastAsia="zh-CN" w:bidi="ar"/>
              </w:rPr>
              <w:t>分</w:t>
            </w:r>
            <w:r>
              <w:rPr>
                <w:rFonts w:hint="eastAsia" w:ascii="仿宋_GB2312" w:hAnsi="宋体" w:eastAsia="仿宋_GB2312" w:cs="宋体"/>
                <w:kern w:val="0"/>
                <w:sz w:val="24"/>
                <w:szCs w:val="24"/>
                <w:lang w:val="en-US" w:eastAsia="zh-CN" w:bidi="ar"/>
              </w:rPr>
              <w:t>，</w:t>
            </w:r>
            <w:r>
              <w:rPr>
                <w:rFonts w:hint="default" w:ascii="仿宋_GB2312" w:hAnsi="宋体" w:eastAsia="仿宋_GB2312" w:cs="宋体"/>
                <w:kern w:val="0"/>
                <w:sz w:val="24"/>
                <w:szCs w:val="24"/>
                <w:lang w:val="en-US" w:eastAsia="zh-CN" w:bidi="ar"/>
              </w:rPr>
              <w:t>最高得</w:t>
            </w:r>
            <w:r>
              <w:rPr>
                <w:rFonts w:hint="eastAsia" w:ascii="仿宋_GB2312" w:hAnsi="宋体" w:eastAsia="仿宋_GB2312" w:cs="宋体"/>
                <w:kern w:val="0"/>
                <w:sz w:val="24"/>
                <w:szCs w:val="24"/>
                <w:lang w:val="en-US" w:eastAsia="zh-CN" w:bidi="ar"/>
              </w:rPr>
              <w:t>20</w:t>
            </w:r>
            <w:r>
              <w:rPr>
                <w:rFonts w:hint="default" w:ascii="仿宋_GB2312" w:hAnsi="宋体" w:eastAsia="仿宋_GB2312" w:cs="宋体"/>
                <w:kern w:val="0"/>
                <w:sz w:val="24"/>
                <w:szCs w:val="24"/>
                <w:lang w:val="en-US" w:eastAsia="zh-CN" w:bidi="ar"/>
              </w:rPr>
              <w:t>分</w:t>
            </w:r>
            <w:r>
              <w:rPr>
                <w:rFonts w:hint="eastAsia" w:ascii="仿宋_GB2312" w:hAnsi="宋体" w:eastAsia="仿宋_GB2312" w:cs="宋体"/>
                <w:kern w:val="0"/>
                <w:sz w:val="24"/>
                <w:szCs w:val="24"/>
                <w:lang w:val="en-US" w:eastAsia="zh-CN" w:bidi="ar"/>
              </w:rPr>
              <w:t>，</w:t>
            </w:r>
            <w:r>
              <w:rPr>
                <w:rFonts w:hint="default" w:ascii="仿宋_GB2312" w:hAnsi="宋体" w:eastAsia="仿宋_GB2312" w:cs="宋体"/>
                <w:kern w:val="0"/>
                <w:sz w:val="24"/>
                <w:szCs w:val="24"/>
                <w:lang w:val="en-US" w:eastAsia="zh-CN" w:bidi="ar"/>
              </w:rPr>
              <w:t>同一合同不重复计分。提供合</w:t>
            </w:r>
            <w:r>
              <w:rPr>
                <w:rFonts w:hint="default" w:ascii="仿宋_GB2312" w:hAnsi="宋体" w:eastAsia="仿宋_GB2312" w:cs="宋体"/>
                <w:kern w:val="0"/>
                <w:sz w:val="24"/>
                <w:szCs w:val="24"/>
                <w:highlight w:val="none"/>
                <w:lang w:val="en-US" w:eastAsia="zh-CN" w:bidi="ar"/>
              </w:rPr>
              <w:t>同复印</w:t>
            </w:r>
            <w:r>
              <w:rPr>
                <w:rFonts w:hint="default" w:ascii="仿宋_GB2312" w:hAnsi="宋体" w:eastAsia="仿宋_GB2312" w:cs="宋体"/>
                <w:kern w:val="0"/>
                <w:sz w:val="24"/>
                <w:szCs w:val="24"/>
                <w:lang w:val="en-US" w:eastAsia="zh-CN" w:bidi="ar"/>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78" w:hRule="atLeast"/>
          <w:jc w:val="center"/>
        </w:trPr>
        <w:tc>
          <w:tcPr>
            <w:tcW w:w="1361" w:type="dxa"/>
            <w:vMerge w:val="restart"/>
            <w:noWrap w:val="0"/>
            <w:tcMar>
              <w:top w:w="15" w:type="dxa"/>
              <w:left w:w="15" w:type="dxa"/>
              <w:bottom w:w="15" w:type="dxa"/>
              <w:right w:w="15" w:type="dxa"/>
            </w:tcMar>
            <w:vAlign w:val="center"/>
          </w:tcPr>
          <w:p>
            <w:pPr>
              <w:jc w:val="center"/>
              <w:rPr>
                <w:rFonts w:hint="default" w:ascii="仿宋_GB2312" w:hAnsi="宋体" w:eastAsia="仿宋_GB2312" w:cs="仿宋_GB2312"/>
                <w:kern w:val="0"/>
                <w:sz w:val="24"/>
                <w:szCs w:val="24"/>
                <w:lang w:eastAsia="zh-CN" w:bidi="ar"/>
              </w:rPr>
            </w:pPr>
            <w:r>
              <w:rPr>
                <w:rFonts w:hint="default" w:ascii="仿宋_GB2312" w:hAnsi="宋体" w:eastAsia="仿宋_GB2312" w:cs="仿宋_GB2312"/>
                <w:kern w:val="0"/>
                <w:sz w:val="24"/>
                <w:szCs w:val="24"/>
                <w:lang w:eastAsia="zh-CN" w:bidi="ar"/>
              </w:rPr>
              <w:t>技术评分</w:t>
            </w:r>
          </w:p>
          <w:p>
            <w:pPr>
              <w:jc w:val="center"/>
              <w:rPr>
                <w:rFonts w:hint="default" w:ascii="Times New Roman" w:hAnsi="Times New Roman" w:cs="Times New Roman"/>
                <w:sz w:val="20"/>
                <w:szCs w:val="20"/>
              </w:rPr>
            </w:pPr>
          </w:p>
        </w:tc>
        <w:tc>
          <w:tcPr>
            <w:tcW w:w="1632"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招标要求</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rPr>
            </w:pPr>
            <w:r>
              <w:rPr>
                <w:rFonts w:hint="eastAsia" w:ascii="仿宋_GB2312" w:hAnsi="宋体" w:eastAsia="仿宋_GB2312" w:cs="仿宋_GB2312"/>
                <w:kern w:val="0"/>
                <w:sz w:val="24"/>
                <w:szCs w:val="24"/>
                <w:lang w:val="en-US" w:eastAsia="zh-CN" w:bidi="ar"/>
              </w:rPr>
              <w:t>25</w:t>
            </w:r>
          </w:p>
        </w:tc>
        <w:tc>
          <w:tcPr>
            <w:tcW w:w="5325"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both"/>
              <w:textAlignment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全符合招标文件废品回收公司遴选要求，没有负偏离的得满分；有负偏离的，一项扣</w:t>
            </w:r>
            <w:r>
              <w:rPr>
                <w:rFonts w:hint="eastAsia" w:ascii="仿宋_GB2312" w:hAnsi="宋体" w:eastAsia="仿宋_GB2312" w:cs="宋体"/>
                <w:kern w:val="0"/>
                <w:sz w:val="24"/>
                <w:szCs w:val="24"/>
                <w:lang w:val="en-US" w:eastAsia="zh-CN" w:bidi="ar"/>
              </w:rPr>
              <w:t>5</w:t>
            </w:r>
            <w:r>
              <w:rPr>
                <w:rFonts w:hint="default" w:ascii="仿宋_GB2312" w:hAnsi="宋体" w:eastAsia="仿宋_GB2312" w:cs="宋体"/>
                <w:kern w:val="0"/>
                <w:sz w:val="24"/>
                <w:szCs w:val="24"/>
                <w:lang w:val="en-US" w:eastAsia="zh-CN" w:bidi="ar"/>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531" w:hRule="atLeast"/>
          <w:jc w:val="center"/>
        </w:trPr>
        <w:tc>
          <w:tcPr>
            <w:tcW w:w="1361" w:type="dxa"/>
            <w:vMerge w:val="continue"/>
            <w:noWrap w:val="0"/>
            <w:tcMar>
              <w:top w:w="15" w:type="dxa"/>
              <w:left w:w="15" w:type="dxa"/>
              <w:bottom w:w="15" w:type="dxa"/>
              <w:right w:w="15" w:type="dxa"/>
            </w:tcMar>
            <w:vAlign w:val="center"/>
          </w:tcPr>
          <w:p>
            <w:pPr>
              <w:rPr>
                <w:rFonts w:hint="default" w:ascii="Times New Roman" w:hAnsi="Times New Roman" w:cs="Times New Roman"/>
                <w:sz w:val="20"/>
                <w:szCs w:val="20"/>
              </w:rPr>
            </w:pPr>
          </w:p>
        </w:tc>
        <w:tc>
          <w:tcPr>
            <w:tcW w:w="1632"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rPr>
            </w:pPr>
            <w:r>
              <w:rPr>
                <w:rFonts w:hint="default" w:ascii="仿宋_GB2312" w:hAnsi="宋体" w:eastAsia="仿宋_GB2312" w:cs="仿宋_GB2312"/>
                <w:kern w:val="0"/>
                <w:sz w:val="24"/>
                <w:szCs w:val="24"/>
                <w:lang w:val="en-US" w:eastAsia="zh-CN" w:bidi="ar"/>
              </w:rPr>
              <w:t>依法交纳税收、社保保障保险证明资料</w:t>
            </w:r>
            <w:r>
              <w:rPr>
                <w:rFonts w:hint="eastAsia" w:ascii="仿宋_GB2312" w:hAnsi="宋体" w:eastAsia="仿宋_GB2312" w:cs="仿宋_GB2312"/>
                <w:kern w:val="0"/>
                <w:sz w:val="24"/>
                <w:szCs w:val="24"/>
                <w:lang w:val="en-US" w:eastAsia="zh-CN" w:bidi="ar"/>
              </w:rPr>
              <w:t>、财务报表</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8</w:t>
            </w:r>
          </w:p>
        </w:tc>
        <w:tc>
          <w:tcPr>
            <w:tcW w:w="5325"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both"/>
              <w:textAlignment w:val="center"/>
              <w:rPr>
                <w:rFonts w:hint="default" w:ascii="仿宋_GB2312" w:hAnsi="宋体" w:eastAsia="仿宋_GB2312" w:cs="宋体"/>
                <w:kern w:val="0"/>
                <w:sz w:val="24"/>
                <w:szCs w:val="24"/>
                <w:lang w:val="en-US"/>
              </w:rPr>
            </w:pPr>
            <w:r>
              <w:rPr>
                <w:rFonts w:hint="default" w:ascii="仿宋_GB2312" w:hAnsi="宋体" w:eastAsia="仿宋_GB2312" w:cs="仿宋_GB2312"/>
                <w:kern w:val="0"/>
                <w:sz w:val="24"/>
                <w:szCs w:val="24"/>
                <w:lang w:eastAsia="zh-CN" w:bidi="ar"/>
              </w:rPr>
              <w:t>投标</w:t>
            </w:r>
            <w:r>
              <w:rPr>
                <w:rFonts w:hint="default" w:ascii="仿宋_GB2312" w:hAnsi="宋体" w:eastAsia="仿宋_GB2312" w:cs="仿宋_GB2312"/>
                <w:kern w:val="0"/>
                <w:sz w:val="24"/>
                <w:szCs w:val="24"/>
                <w:lang w:val="en-US" w:eastAsia="zh-CN" w:bidi="ar"/>
              </w:rPr>
              <w:t>截止日期前十个月内任意三个月的依法缴纳税收及社会保障资金证明</w:t>
            </w:r>
            <w:r>
              <w:rPr>
                <w:rFonts w:hint="eastAsia" w:ascii="仿宋_GB2312" w:hAnsi="宋体" w:eastAsia="仿宋_GB2312" w:cs="仿宋_GB2312"/>
                <w:kern w:val="0"/>
                <w:sz w:val="24"/>
                <w:szCs w:val="24"/>
                <w:lang w:val="en-US" w:eastAsia="zh-CN" w:bidi="ar"/>
              </w:rPr>
              <w:t>，缺1项</w:t>
            </w:r>
            <w:r>
              <w:rPr>
                <w:rFonts w:hint="default" w:ascii="仿宋_GB2312" w:hAnsi="宋体" w:eastAsia="仿宋_GB2312" w:cs="宋体"/>
                <w:kern w:val="0"/>
                <w:sz w:val="24"/>
                <w:szCs w:val="24"/>
                <w:lang w:val="en-US" w:eastAsia="zh-CN" w:bidi="ar"/>
              </w:rPr>
              <w:t>扣</w:t>
            </w:r>
            <w:r>
              <w:rPr>
                <w:rFonts w:hint="eastAsia" w:ascii="仿宋_GB2312" w:hAnsi="宋体" w:eastAsia="仿宋_GB2312" w:cs="宋体"/>
                <w:kern w:val="0"/>
                <w:sz w:val="24"/>
                <w:szCs w:val="24"/>
                <w:lang w:val="en-US" w:eastAsia="zh-CN" w:bidi="ar"/>
              </w:rPr>
              <w:t>2</w:t>
            </w:r>
            <w:r>
              <w:rPr>
                <w:rFonts w:hint="default" w:ascii="仿宋_GB2312" w:hAnsi="宋体" w:eastAsia="仿宋_GB2312" w:cs="宋体"/>
                <w:kern w:val="0"/>
                <w:sz w:val="24"/>
                <w:szCs w:val="24"/>
                <w:lang w:val="en-US" w:eastAsia="zh-CN" w:bidi="ar"/>
              </w:rPr>
              <w:t>分</w:t>
            </w:r>
            <w:r>
              <w:rPr>
                <w:rFonts w:hint="eastAsia" w:ascii="仿宋_GB2312" w:hAnsi="宋体" w:eastAsia="仿宋_GB2312" w:cs="宋体"/>
                <w:kern w:val="0"/>
                <w:sz w:val="24"/>
                <w:szCs w:val="24"/>
                <w:lang w:val="en-US" w:eastAsia="zh-CN" w:bidi="ar"/>
              </w:rPr>
              <w:t>，</w:t>
            </w:r>
            <w:r>
              <w:rPr>
                <w:rFonts w:hint="default" w:ascii="仿宋_GB2312" w:hAnsi="宋体" w:eastAsia="仿宋_GB2312" w:cs="宋体"/>
                <w:kern w:val="0"/>
                <w:sz w:val="24"/>
                <w:szCs w:val="24"/>
                <w:lang w:val="en-US" w:eastAsia="zh-CN" w:bidi="ar"/>
              </w:rPr>
              <w:t>扣完为止。</w:t>
            </w:r>
            <w:r>
              <w:rPr>
                <w:rFonts w:hint="default" w:ascii="仿宋_GB2312" w:hAnsi="宋体" w:eastAsia="仿宋_GB2312" w:cs="仿宋_GB2312"/>
                <w:kern w:val="0"/>
                <w:sz w:val="24"/>
                <w:szCs w:val="24"/>
                <w:lang w:val="en-US" w:eastAsia="zh-CN" w:bidi="ar"/>
              </w:rPr>
              <w:t>新成立公司按实际应缴纳情况提供，不能提供的应提供相关主管部门出具的证明材料。</w:t>
            </w:r>
            <w:r>
              <w:rPr>
                <w:rFonts w:hint="eastAsia" w:ascii="仿宋_GB2312" w:hAnsi="宋体" w:eastAsia="仿宋_GB2312" w:cs="仿宋_GB2312"/>
                <w:kern w:val="0"/>
                <w:sz w:val="24"/>
                <w:szCs w:val="24"/>
                <w:lang w:val="en-US" w:eastAsia="zh-CN" w:bidi="ar"/>
              </w:rPr>
              <w:t>提供2022年度财务报表，包括资产负债表、利润表、现金流量表。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1" w:hRule="atLeast"/>
          <w:jc w:val="center"/>
        </w:trPr>
        <w:tc>
          <w:tcPr>
            <w:tcW w:w="2993" w:type="dxa"/>
            <w:gridSpan w:val="2"/>
            <w:noWrap w:val="0"/>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投标文件规范性</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7</w:t>
            </w:r>
          </w:p>
        </w:tc>
        <w:tc>
          <w:tcPr>
            <w:tcW w:w="5325"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both"/>
              <w:textAlignment w:val="center"/>
              <w:rPr>
                <w:rFonts w:hint="default" w:ascii="仿宋_GB2312" w:hAnsi="宋体" w:eastAsia="仿宋_GB2312" w:cs="宋体"/>
                <w:kern w:val="0"/>
                <w:sz w:val="24"/>
                <w:szCs w:val="24"/>
              </w:rPr>
            </w:pPr>
            <w:r>
              <w:rPr>
                <w:rFonts w:hint="default" w:ascii="仿宋_GB2312" w:hAnsi="宋体" w:eastAsia="仿宋_GB2312" w:cs="仿宋_GB2312"/>
                <w:kern w:val="0"/>
                <w:sz w:val="24"/>
                <w:szCs w:val="24"/>
                <w:lang w:val="en-US" w:eastAsia="zh-CN" w:bidi="ar"/>
              </w:rPr>
              <w:t>投标文件制作规范，得</w:t>
            </w:r>
            <w:r>
              <w:rPr>
                <w:rFonts w:hint="eastAsia" w:ascii="仿宋_GB2312" w:hAnsi="宋体" w:eastAsia="仿宋_GB2312" w:cs="宋体"/>
                <w:kern w:val="0"/>
                <w:sz w:val="24"/>
                <w:szCs w:val="24"/>
                <w:lang w:val="en-US" w:eastAsia="zh-CN" w:bidi="ar"/>
              </w:rPr>
              <w:t>7</w:t>
            </w:r>
            <w:r>
              <w:rPr>
                <w:rFonts w:hint="default" w:ascii="仿宋_GB2312" w:hAnsi="宋体" w:eastAsia="仿宋_GB2312" w:cs="宋体"/>
                <w:kern w:val="0"/>
                <w:sz w:val="24"/>
                <w:szCs w:val="24"/>
                <w:lang w:val="en-US" w:eastAsia="zh-CN" w:bidi="ar"/>
              </w:rPr>
              <w:t>分，有一项细微偏差扣</w:t>
            </w:r>
            <w:r>
              <w:rPr>
                <w:rFonts w:hint="eastAsia" w:ascii="仿宋_GB2312" w:hAnsi="宋体" w:eastAsia="仿宋_GB2312" w:cs="宋体"/>
                <w:kern w:val="0"/>
                <w:sz w:val="24"/>
                <w:szCs w:val="24"/>
                <w:lang w:val="en-US" w:eastAsia="zh-CN" w:bidi="ar"/>
              </w:rPr>
              <w:t>2</w:t>
            </w:r>
            <w:r>
              <w:rPr>
                <w:rFonts w:hint="default" w:ascii="仿宋_GB2312" w:hAnsi="宋体" w:eastAsia="仿宋_GB2312" w:cs="宋体"/>
                <w:kern w:val="0"/>
                <w:sz w:val="24"/>
                <w:szCs w:val="24"/>
                <w:lang w:val="en-US" w:eastAsia="zh-CN" w:bidi="ar"/>
              </w:rPr>
              <w:t>分，直到该项分值扣完为止。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6" w:hRule="atLeast"/>
          <w:jc w:val="center"/>
        </w:trPr>
        <w:tc>
          <w:tcPr>
            <w:tcW w:w="2993" w:type="dxa"/>
            <w:gridSpan w:val="2"/>
            <w:noWrap w:val="0"/>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满足政策要求“就近原则”</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15</w:t>
            </w:r>
          </w:p>
        </w:tc>
        <w:tc>
          <w:tcPr>
            <w:tcW w:w="5325" w:type="dxa"/>
            <w:noWrap w:val="0"/>
            <w:tcMar>
              <w:top w:w="15" w:type="dxa"/>
              <w:left w:w="15" w:type="dxa"/>
              <w:bottom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《危险废物转移管理办法》（生态环境部、公安部、交通运输部令第23号）要求危险废物转移遵循“就近原则”。评分标准：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处置地点在成都市内的，得15分。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处置地点在成都市外，四川省以内的，得10分。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处置地点在四川省以外的，得5分。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eastAsia="仿宋"/>
                <w:lang w:val="en-US" w:eastAsia="zh-CN"/>
              </w:rPr>
            </w:pPr>
            <w:r>
              <w:rPr>
                <w:rFonts w:hint="eastAsia" w:ascii="仿宋_GB2312" w:hAnsi="宋体" w:eastAsia="仿宋_GB2312" w:cs="仿宋_GB2312"/>
                <w:kern w:val="0"/>
                <w:sz w:val="24"/>
                <w:szCs w:val="24"/>
                <w:lang w:val="en-US" w:eastAsia="zh-CN" w:bidi="ar"/>
              </w:rPr>
              <w:t>需提供证明材料。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6" w:hRule="atLeast"/>
          <w:jc w:val="center"/>
        </w:trPr>
        <w:tc>
          <w:tcPr>
            <w:tcW w:w="2993" w:type="dxa"/>
            <w:gridSpan w:val="2"/>
            <w:noWrap w:val="0"/>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eastAsia" w:ascii="仿宋" w:hAnsi="仿宋" w:eastAsia="仿宋"/>
                <w:color w:val="000000"/>
                <w:szCs w:val="21"/>
              </w:rPr>
            </w:pPr>
            <w:r>
              <w:rPr>
                <w:rFonts w:hint="eastAsia" w:ascii="仿宋_GB2312" w:hAnsi="宋体" w:eastAsia="仿宋_GB2312" w:cs="仿宋_GB2312"/>
                <w:kern w:val="0"/>
                <w:sz w:val="24"/>
                <w:szCs w:val="24"/>
                <w:lang w:val="en-US" w:eastAsia="zh-CN" w:bidi="ar"/>
              </w:rPr>
              <w:t>回收服务方案</w:t>
            </w:r>
          </w:p>
        </w:tc>
        <w:tc>
          <w:tcPr>
            <w:tcW w:w="1019" w:type="dxa"/>
            <w:noWrap w:val="0"/>
            <w:tcMar>
              <w:top w:w="15" w:type="dxa"/>
              <w:left w:w="15" w:type="dxa"/>
              <w:bottom w:w="15" w:type="dxa"/>
              <w:right w:w="15" w:type="dxa"/>
            </w:tcMar>
            <w:vAlign w:val="center"/>
          </w:tcPr>
          <w:p>
            <w:pPr>
              <w:keepNext w:val="0"/>
              <w:keepLines w:val="0"/>
              <w:widowControl/>
              <w:suppressLineNumbers w:val="0"/>
              <w:spacing w:before="100" w:beforeAutospacing="1" w:after="100" w:afterAutospacing="1" w:line="240" w:lineRule="atLeast"/>
              <w:ind w:left="0" w:right="0"/>
              <w:jc w:val="center"/>
              <w:textAlignment w:val="center"/>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25</w:t>
            </w:r>
          </w:p>
        </w:tc>
        <w:tc>
          <w:tcPr>
            <w:tcW w:w="5325" w:type="dxa"/>
            <w:noWrap w:val="0"/>
            <w:tcMar>
              <w:top w:w="15" w:type="dxa"/>
              <w:left w:w="15" w:type="dxa"/>
              <w:bottom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回收服务方案需至少包含环境保护措施、安全保障措施（包括车辆、运送人员等）、紧急回收方案。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对回收期间环境保护方案、安全保障措施，紧急回收方案是否明确，安全、科</w:t>
            </w:r>
            <w:bookmarkStart w:id="0" w:name="_GoBack"/>
            <w:bookmarkEnd w:id="0"/>
            <w:r>
              <w:rPr>
                <w:rFonts w:hint="eastAsia" w:ascii="仿宋_GB2312" w:hAnsi="宋体" w:eastAsia="仿宋_GB2312" w:cs="仿宋_GB2312"/>
                <w:kern w:val="0"/>
                <w:sz w:val="24"/>
                <w:szCs w:val="24"/>
                <w:lang w:val="en-US" w:eastAsia="zh-CN" w:bidi="ar"/>
              </w:rPr>
              <w:t>学、合理，有针对性，能否满足医院需要：优秀18-25分，合格10-17分，不合格0-9分。</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优秀：回收服务方案包括以上三要点，科学、合理，安全，完全满足医院需要。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eastAsia"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合格：回收服务方案包括以上三要点，合理性、安全性、科学性一般，基本满足医院需要。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left="0" w:right="0"/>
              <w:jc w:val="both"/>
              <w:textAlignment w:val="center"/>
              <w:rPr>
                <w:rFonts w:hint="default" w:ascii="仿宋_GB2312" w:hAnsi="宋体" w:eastAsia="仿宋_GB2312" w:cs="仿宋_GB2312"/>
                <w:kern w:val="0"/>
                <w:sz w:val="24"/>
                <w:szCs w:val="24"/>
                <w:lang w:val="en-US" w:eastAsia="zh-CN" w:bidi="ar"/>
              </w:rPr>
            </w:pPr>
            <w:r>
              <w:rPr>
                <w:rFonts w:hint="eastAsia" w:ascii="仿宋_GB2312" w:hAnsi="宋体" w:eastAsia="仿宋_GB2312" w:cs="仿宋_GB2312"/>
                <w:kern w:val="0"/>
                <w:sz w:val="24"/>
                <w:szCs w:val="24"/>
                <w:lang w:val="en-US" w:eastAsia="zh-CN" w:bidi="ar"/>
              </w:rPr>
              <w:t>不合格：回收服务方案未完全包括以上三要点，不能满足医院需要。</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iMTRhYzQ5NzUzZjJmNGVkNzRmYmRlNjYxMjM0NzgifQ=="/>
  </w:docVars>
  <w:rsids>
    <w:rsidRoot w:val="1F8912D1"/>
    <w:rsid w:val="00577718"/>
    <w:rsid w:val="018A2D98"/>
    <w:rsid w:val="054906CA"/>
    <w:rsid w:val="06D02AE7"/>
    <w:rsid w:val="075852F4"/>
    <w:rsid w:val="0B2E1A44"/>
    <w:rsid w:val="112C42A9"/>
    <w:rsid w:val="118D32BE"/>
    <w:rsid w:val="14212F07"/>
    <w:rsid w:val="1E884B1D"/>
    <w:rsid w:val="1F8912D1"/>
    <w:rsid w:val="22CB660A"/>
    <w:rsid w:val="232949D5"/>
    <w:rsid w:val="26A52DAE"/>
    <w:rsid w:val="34DC0162"/>
    <w:rsid w:val="38A36BA5"/>
    <w:rsid w:val="39B54363"/>
    <w:rsid w:val="3E2548ED"/>
    <w:rsid w:val="416D0192"/>
    <w:rsid w:val="49D22F38"/>
    <w:rsid w:val="4B390D21"/>
    <w:rsid w:val="4EFD0A57"/>
    <w:rsid w:val="4F345086"/>
    <w:rsid w:val="55984F87"/>
    <w:rsid w:val="55BD684B"/>
    <w:rsid w:val="575E7A89"/>
    <w:rsid w:val="57D968E4"/>
    <w:rsid w:val="599B0F25"/>
    <w:rsid w:val="5CA72002"/>
    <w:rsid w:val="5E247A01"/>
    <w:rsid w:val="5FED67E8"/>
    <w:rsid w:val="60ED0036"/>
    <w:rsid w:val="61367343"/>
    <w:rsid w:val="634A7AE7"/>
    <w:rsid w:val="63F36349"/>
    <w:rsid w:val="644B3221"/>
    <w:rsid w:val="656A18C5"/>
    <w:rsid w:val="6C354F35"/>
    <w:rsid w:val="6CD35D55"/>
    <w:rsid w:val="6ED9345F"/>
    <w:rsid w:val="6EE67D21"/>
    <w:rsid w:val="6F871F4B"/>
    <w:rsid w:val="729F135A"/>
    <w:rsid w:val="738F520D"/>
    <w:rsid w:val="76486598"/>
    <w:rsid w:val="76B778DF"/>
    <w:rsid w:val="77E71C32"/>
    <w:rsid w:val="7B8A3C04"/>
    <w:rsid w:val="7BBE20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0"/>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660</Words>
  <Characters>681</Characters>
  <Lines>0</Lines>
  <Paragraphs>0</Paragraphs>
  <TotalTime>13</TotalTime>
  <ScaleCrop>false</ScaleCrop>
  <LinksUpToDate>false</LinksUpToDate>
  <CharactersWithSpaces>681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2022-01-18T07:06:00Z</dcterms:created>
  <dc:creator>沽噜沽噜</dc:creator>
  <cp:lastModifiedBy>褚晨</cp:lastModifiedBy>
  <dcterms:modified xsi:type="dcterms:W3CDTF">2023-03-03T08:49:19Z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7413F29C3C734576A5997C40FC7BFC7D</vt:lpwstr>
  </property>
</Properties>
</file>