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参选机构要求</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为规范我院大型医疗设备的检查服务流程及转诊流程，通过遴选的方式引入一家或多家医疗机构，</w:t>
      </w:r>
      <w:r>
        <w:rPr>
          <w:rFonts w:hint="eastAsia" w:ascii="仿宋" w:hAnsi="仿宋" w:eastAsia="仿宋"/>
          <w:sz w:val="28"/>
          <w:szCs w:val="28"/>
          <w:highlight w:val="none"/>
        </w:rPr>
        <w:t>为需要进行正电子发射计算机断层显像（PET-CT、PET-MRI）等扫描的患者提供服务</w:t>
      </w:r>
      <w:r>
        <w:rPr>
          <w:rFonts w:hint="eastAsia" w:ascii="仿宋" w:hAnsi="仿宋" w:eastAsia="仿宋"/>
          <w:sz w:val="28"/>
          <w:szCs w:val="28"/>
          <w:highlight w:val="none"/>
          <w:lang w:val="en-US" w:eastAsia="zh-CN"/>
        </w:rPr>
        <w:t>。</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二、具体合作内容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双向转诊：参选机构需对我院无法开展的项目（包括但不限于PET-CT、PET-MRI），通过双向转诊的方式在参选机构进行诊断，参选机构为患者提供影像诊断报告，患者可根据报告在我院进行下一步临床诊治。参选机构负责向转诊患者收取项目检查费，参选机构定期与我院结算项目合作费用。</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2.学术交流与技术支持：我院可按照参选机构需求派相关专家对其疑难病例进行影像学诊断支持、临床影像会诊；对参选机构的医护人员进行学术授课、学术交流等。</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三、资质要求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1.营业执照（经有效年检，副本复印件）、税务证（国、地税副本复印件）、组织机构代码证（经有效年检，副本复印件）或提供三证合一的营业执照（经有效年检，副本复印件），经营范围必须包含医疗机构。</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2.医疗机构执业许可证（经有效年检，复印件），诊疗科目必须包含核医学专业。</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3.X线计算机断层扫描仪乙类大型医用设备配置许可证（经有效年检，复印件）。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4.X线正电子发射断层扫描仪乙类大型医用设备配置许可证（经有效年检，复印件）。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5.磁共振成像系统乙类大型医用设备配置许可证（经有效年检，复印件）。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6.法定代表人身份授权书（原件，格式见附件6），法定代表人和经办人身份证复印件。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7.具有良好的商业信誉和健全的财务会计制度。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8.具有履行合同所必需的人员、设备和专业技术能力。</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9.具有依法缴纳税收和社会保障资金的良好记录。</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10.近三年内，参选机构（包含母公司和子公司）无重大行贿犯罪记录，无重大负面新闻。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11.近三年内，参选机构未在经营活动中因违法行为受到刑事处罚、处以罚款或者没收财产5万元以上、责令停产停业、吊销许可证或者执照等行政处罚。</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12.参选机构承诺对我院转诊患者在</w:t>
      </w:r>
      <w:r>
        <w:rPr>
          <w:rFonts w:hint="eastAsia" w:ascii="仿宋" w:hAnsi="仿宋" w:eastAsia="仿宋"/>
          <w:sz w:val="28"/>
          <w:szCs w:val="28"/>
          <w:highlight w:val="none"/>
        </w:rPr>
        <w:t>医疗服务项目收费标准</w:t>
      </w:r>
      <w:r>
        <w:rPr>
          <w:rFonts w:hint="eastAsia" w:ascii="仿宋" w:hAnsi="仿宋" w:eastAsia="仿宋"/>
          <w:sz w:val="28"/>
          <w:szCs w:val="28"/>
          <w:highlight w:val="none"/>
          <w:lang w:val="en-US" w:eastAsia="zh-CN"/>
        </w:rPr>
        <w:t>基础上进行折扣优惠。</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r>
        <w:rPr>
          <w:rFonts w:hint="default" w:ascii="仿宋" w:hAnsi="仿宋" w:eastAsia="仿宋"/>
          <w:sz w:val="28"/>
          <w:szCs w:val="28"/>
          <w:highlight w:val="none"/>
          <w:lang w:val="en-US" w:eastAsia="zh-CN"/>
        </w:rPr>
        <w:t>3</w:t>
      </w:r>
      <w:r>
        <w:rPr>
          <w:rFonts w:hint="eastAsia" w:ascii="仿宋" w:hAnsi="仿宋" w:eastAsia="仿宋"/>
          <w:sz w:val="28"/>
          <w:szCs w:val="28"/>
          <w:highlight w:val="none"/>
          <w:lang w:val="en-US" w:eastAsia="zh-CN"/>
        </w:rPr>
        <w:t>.反商业贿赂承诺书（附件7）。</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r>
        <w:rPr>
          <w:rFonts w:hint="default" w:ascii="仿宋" w:hAnsi="仿宋" w:eastAsia="仿宋"/>
          <w:sz w:val="28"/>
          <w:szCs w:val="28"/>
          <w:lang w:val="en-US" w:eastAsia="zh-CN"/>
        </w:rPr>
        <w:t>4</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无围标、串标行为承诺书</w:t>
      </w: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lang w:eastAsia="zh-CN"/>
        </w:rPr>
        <w:t>）。</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r>
        <w:rPr>
          <w:rFonts w:hint="default" w:ascii="仿宋" w:hAnsi="仿宋" w:eastAsia="仿宋"/>
          <w:sz w:val="28"/>
          <w:szCs w:val="28"/>
          <w:highlight w:val="none"/>
          <w:lang w:val="en-US" w:eastAsia="zh-CN"/>
        </w:rPr>
        <w:t>5</w:t>
      </w:r>
      <w:r>
        <w:rPr>
          <w:rFonts w:hint="eastAsia" w:ascii="仿宋" w:hAnsi="仿宋" w:eastAsia="仿宋"/>
          <w:sz w:val="28"/>
          <w:szCs w:val="28"/>
          <w:highlight w:val="none"/>
          <w:lang w:val="en-US" w:eastAsia="zh-CN"/>
        </w:rPr>
        <w:t>.本次遴选活动不接受联合体投标。</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rPr>
        <w:t>注：</w:t>
      </w:r>
      <w:r>
        <w:rPr>
          <w:rFonts w:hint="eastAsia" w:ascii="仿宋" w:hAnsi="仿宋" w:eastAsia="仿宋"/>
          <w:b/>
          <w:bCs/>
          <w:sz w:val="28"/>
          <w:szCs w:val="28"/>
          <w:lang w:eastAsia="zh-CN"/>
        </w:rPr>
        <w:t>①</w:t>
      </w:r>
      <w:r>
        <w:rPr>
          <w:rFonts w:hint="eastAsia" w:ascii="仿宋" w:hAnsi="仿宋" w:eastAsia="仿宋"/>
          <w:b/>
          <w:bCs/>
          <w:sz w:val="28"/>
          <w:szCs w:val="28"/>
          <w:lang w:val="en-US" w:eastAsia="zh-CN"/>
        </w:rPr>
        <w:t>7</w:t>
      </w:r>
      <w:r>
        <w:rPr>
          <w:rFonts w:hint="eastAsia" w:ascii="仿宋" w:hAnsi="仿宋" w:eastAsia="仿宋"/>
          <w:b/>
          <w:bCs/>
          <w:sz w:val="28"/>
          <w:szCs w:val="28"/>
        </w:rPr>
        <w:t>—</w:t>
      </w:r>
      <w:r>
        <w:rPr>
          <w:rFonts w:hint="eastAsia" w:ascii="仿宋" w:hAnsi="仿宋" w:eastAsia="仿宋"/>
          <w:b/>
          <w:bCs/>
          <w:sz w:val="28"/>
          <w:szCs w:val="28"/>
          <w:lang w:val="en-US" w:eastAsia="zh-CN"/>
        </w:rPr>
        <w:t>1</w:t>
      </w:r>
      <w:r>
        <w:rPr>
          <w:rFonts w:hint="default" w:ascii="仿宋" w:hAnsi="仿宋" w:eastAsia="仿宋"/>
          <w:b/>
          <w:bCs/>
          <w:sz w:val="28"/>
          <w:szCs w:val="28"/>
          <w:lang w:val="en-US" w:eastAsia="zh-CN"/>
        </w:rPr>
        <w:t>5</w:t>
      </w:r>
      <w:r>
        <w:rPr>
          <w:rFonts w:hint="eastAsia" w:ascii="仿宋" w:hAnsi="仿宋" w:eastAsia="仿宋"/>
          <w:b/>
          <w:bCs/>
          <w:sz w:val="28"/>
          <w:szCs w:val="28"/>
        </w:rPr>
        <w:t>均提供承诺函原件并加盖鲜章</w:t>
      </w:r>
      <w:r>
        <w:rPr>
          <w:rFonts w:hint="eastAsia" w:ascii="仿宋" w:hAnsi="仿宋" w:eastAsia="仿宋"/>
          <w:b/>
          <w:bCs/>
          <w:sz w:val="28"/>
          <w:szCs w:val="28"/>
          <w:lang w:eastAsia="zh-CN"/>
        </w:rPr>
        <w:t>；</w:t>
      </w:r>
    </w:p>
    <w:p>
      <w:pPr>
        <w:ind w:firstLine="562" w:firstLineChars="200"/>
        <w:rPr>
          <w:rFonts w:hint="eastAsia"/>
        </w:rPr>
      </w:pPr>
      <w:r>
        <w:rPr>
          <w:rFonts w:hint="eastAsia" w:ascii="仿宋" w:hAnsi="仿宋" w:eastAsia="仿宋"/>
          <w:b/>
          <w:bCs/>
          <w:sz w:val="28"/>
          <w:szCs w:val="28"/>
          <w:lang w:eastAsia="zh-CN"/>
        </w:rPr>
        <w:t>②</w:t>
      </w:r>
      <w:r>
        <w:rPr>
          <w:rFonts w:hint="eastAsia" w:ascii="仿宋" w:hAnsi="仿宋" w:eastAsia="仿宋"/>
          <w:b/>
          <w:bCs/>
          <w:sz w:val="28"/>
          <w:szCs w:val="28"/>
        </w:rPr>
        <w:t>若提供的资格证明文件不全或不实，将导致其合作资格被取消。</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四、技术服务要求</w:t>
      </w:r>
    </w:p>
    <w:p>
      <w:pPr>
        <w:spacing w:line="360" w:lineRule="auto"/>
        <w:ind w:firstLine="560" w:firstLineChars="200"/>
        <w:jc w:val="both"/>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参选</w:t>
      </w:r>
      <w:r>
        <w:rPr>
          <w:rFonts w:hint="eastAsia" w:ascii="仿宋" w:hAnsi="仿宋" w:eastAsia="仿宋"/>
          <w:sz w:val="28"/>
          <w:szCs w:val="28"/>
          <w:highlight w:val="none"/>
          <w:lang w:val="en-US" w:eastAsia="zh-CN"/>
        </w:rPr>
        <w:t>机构</w:t>
      </w:r>
      <w:r>
        <w:rPr>
          <w:rFonts w:hint="eastAsia" w:ascii="仿宋" w:hAnsi="仿宋" w:eastAsia="仿宋"/>
          <w:sz w:val="28"/>
          <w:szCs w:val="28"/>
          <w:highlight w:val="none"/>
          <w:lang w:eastAsia="zh-CN"/>
        </w:rPr>
        <w:t>具备</w:t>
      </w:r>
      <w:r>
        <w:rPr>
          <w:rFonts w:hint="eastAsia" w:ascii="仿宋" w:hAnsi="仿宋" w:eastAsia="仿宋"/>
          <w:sz w:val="28"/>
          <w:szCs w:val="28"/>
          <w:highlight w:val="none"/>
        </w:rPr>
        <w:t>独立完成正电子发射计算机断层显像（PET-CT、PET-MRI）</w:t>
      </w:r>
      <w:r>
        <w:rPr>
          <w:rFonts w:hint="eastAsia" w:ascii="仿宋" w:hAnsi="仿宋" w:eastAsia="仿宋"/>
          <w:sz w:val="28"/>
          <w:szCs w:val="28"/>
          <w:highlight w:val="none"/>
          <w:lang w:eastAsia="zh-CN"/>
        </w:rPr>
        <w:t>项目的</w:t>
      </w:r>
      <w:r>
        <w:rPr>
          <w:rFonts w:hint="eastAsia" w:ascii="仿宋" w:hAnsi="仿宋" w:eastAsia="仿宋"/>
          <w:sz w:val="28"/>
          <w:szCs w:val="28"/>
          <w:highlight w:val="none"/>
        </w:rPr>
        <w:t>检测能力，提供完善的质量管理体系说明</w:t>
      </w:r>
      <w:r>
        <w:rPr>
          <w:rFonts w:hint="eastAsia" w:ascii="仿宋" w:hAnsi="仿宋" w:eastAsia="仿宋"/>
          <w:sz w:val="28"/>
          <w:szCs w:val="28"/>
          <w:highlight w:val="none"/>
          <w:lang w:eastAsia="zh-CN"/>
        </w:rPr>
        <w:t>。</w:t>
      </w:r>
    </w:p>
    <w:p>
      <w:pPr>
        <w:spacing w:line="360" w:lineRule="auto"/>
        <w:ind w:firstLine="560" w:firstLineChars="200"/>
        <w:jc w:val="both"/>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lang w:eastAsia="zh-CN"/>
        </w:rPr>
        <w:t>参选</w:t>
      </w:r>
      <w:r>
        <w:rPr>
          <w:rFonts w:hint="eastAsia" w:ascii="仿宋" w:hAnsi="仿宋" w:eastAsia="仿宋"/>
          <w:sz w:val="28"/>
          <w:szCs w:val="28"/>
          <w:highlight w:val="none"/>
          <w:lang w:val="en-US" w:eastAsia="zh-CN"/>
        </w:rPr>
        <w:t>机构</w:t>
      </w:r>
      <w:r>
        <w:rPr>
          <w:rFonts w:hint="eastAsia" w:ascii="仿宋" w:hAnsi="仿宋" w:eastAsia="仿宋"/>
          <w:sz w:val="28"/>
          <w:szCs w:val="28"/>
          <w:highlight w:val="none"/>
          <w:lang w:eastAsia="zh-CN"/>
        </w:rPr>
        <w:t>针对本项目配备的执业医师注册范围为医学影像、放射治疗专业，放射科医师、技师应当具备医用设备使用相关技术能力（提供人员相关资格证书，</w:t>
      </w:r>
      <w:r>
        <w:rPr>
          <w:rFonts w:hint="eastAsia" w:ascii="仿宋" w:hAnsi="仿宋" w:eastAsia="仿宋"/>
          <w:sz w:val="28"/>
          <w:szCs w:val="28"/>
          <w:highlight w:val="none"/>
          <w:lang w:val="en-US" w:eastAsia="zh-CN"/>
        </w:rPr>
        <w:t>与参选机构的聘用合同或社保缴纳证明材料并加盖参选机构鲜章</w:t>
      </w:r>
      <w:r>
        <w:rPr>
          <w:rFonts w:hint="eastAsia" w:ascii="仿宋" w:hAnsi="仿宋" w:eastAsia="仿宋"/>
          <w:sz w:val="28"/>
          <w:szCs w:val="28"/>
          <w:highlight w:val="none"/>
          <w:lang w:eastAsia="zh-CN"/>
        </w:rPr>
        <w:t>）。</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*3.参选机构所开展的检查项目应接受省级以上医学影像质控中心组织的质量评价，保证影像诊断结果的准确性。</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4.对于我院转诊患者参选机构应安排专人负责并提供绿色通道服务。</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*5.参选机构对我院转诊患者按照相关规范进行项目检查</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全部承担因其影像诊断检查行为或</w:t>
      </w:r>
      <w:r>
        <w:rPr>
          <w:rFonts w:hint="eastAsia" w:ascii="仿宋" w:hAnsi="仿宋" w:eastAsia="仿宋"/>
          <w:sz w:val="28"/>
          <w:szCs w:val="28"/>
          <w:highlight w:val="none"/>
          <w:lang w:eastAsia="zh-CN"/>
        </w:rPr>
        <w:t>影像诊断报告质量</w:t>
      </w:r>
      <w:r>
        <w:rPr>
          <w:rFonts w:hint="eastAsia" w:ascii="仿宋" w:hAnsi="仿宋" w:eastAsia="仿宋"/>
          <w:sz w:val="28"/>
          <w:szCs w:val="28"/>
          <w:highlight w:val="none"/>
          <w:lang w:val="en-US" w:eastAsia="zh-CN"/>
        </w:rPr>
        <w:t>导致的所有风险及相关法律责任，并负责赔偿由此给转诊患者、我院造成的损失。</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6.参选机构应提供在线报告查询系统，且影像诊断报告出具时间自接受扫描检查至发放报告时间不超过24小时。</w:t>
      </w:r>
    </w:p>
    <w:p>
      <w:pPr>
        <w:spacing w:line="360" w:lineRule="auto"/>
        <w:ind w:firstLine="560" w:firstLineChars="200"/>
        <w:jc w:val="both"/>
        <w:rPr>
          <w:rFonts w:hint="eastAsia" w:ascii="仿宋" w:hAnsi="仿宋" w:eastAsia="仿宋"/>
          <w:sz w:val="28"/>
          <w:szCs w:val="28"/>
          <w:highlight w:val="none"/>
        </w:rPr>
      </w:pP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参选</w:t>
      </w:r>
      <w:r>
        <w:rPr>
          <w:rFonts w:hint="eastAsia" w:ascii="仿宋" w:hAnsi="仿宋" w:eastAsia="仿宋"/>
          <w:sz w:val="28"/>
          <w:szCs w:val="28"/>
          <w:highlight w:val="none"/>
          <w:lang w:val="en-US" w:eastAsia="zh-CN"/>
        </w:rPr>
        <w:t>机构</w:t>
      </w:r>
      <w:r>
        <w:rPr>
          <w:rFonts w:hint="eastAsia" w:ascii="仿宋" w:hAnsi="仿宋" w:eastAsia="仿宋"/>
          <w:sz w:val="28"/>
          <w:szCs w:val="28"/>
          <w:highlight w:val="none"/>
        </w:rPr>
        <w:t>需为我院定制影像扫描序列并免费提供相应影像扫描数据。</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rPr>
        <w:t>注：</w:t>
      </w:r>
      <w:r>
        <w:rPr>
          <w:rFonts w:hint="eastAsia" w:ascii="仿宋" w:hAnsi="仿宋" w:eastAsia="仿宋"/>
          <w:b/>
          <w:bCs/>
          <w:sz w:val="28"/>
          <w:szCs w:val="28"/>
          <w:highlight w:val="none"/>
          <w:lang w:val="en-US" w:eastAsia="zh-CN"/>
        </w:rPr>
        <w:t>以上7项</w:t>
      </w:r>
      <w:r>
        <w:rPr>
          <w:rFonts w:hint="eastAsia" w:ascii="仿宋" w:hAnsi="仿宋" w:eastAsia="仿宋"/>
          <w:b/>
          <w:bCs/>
          <w:sz w:val="28"/>
          <w:szCs w:val="28"/>
          <w:highlight w:val="none"/>
        </w:rPr>
        <w:t>均提供承诺函原件</w:t>
      </w:r>
      <w:r>
        <w:rPr>
          <w:rFonts w:hint="eastAsia" w:ascii="仿宋" w:hAnsi="仿宋" w:eastAsia="仿宋"/>
          <w:b/>
          <w:bCs/>
          <w:sz w:val="28"/>
          <w:szCs w:val="28"/>
          <w:highlight w:val="none"/>
          <w:lang w:val="en-US" w:eastAsia="zh-CN"/>
        </w:rPr>
        <w:t>或证明材料复印件</w:t>
      </w:r>
      <w:r>
        <w:rPr>
          <w:rFonts w:hint="eastAsia" w:ascii="仿宋" w:hAnsi="仿宋" w:eastAsia="仿宋"/>
          <w:b/>
          <w:bCs/>
          <w:sz w:val="28"/>
          <w:szCs w:val="28"/>
          <w:highlight w:val="none"/>
        </w:rPr>
        <w:t>并加盖鲜章。</w:t>
      </w:r>
    </w:p>
    <w:p>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五、合作期限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项目服务期限：3年。</w:t>
      </w:r>
    </w:p>
    <w:p>
      <w:pPr>
        <w:spacing w:line="360" w:lineRule="auto"/>
        <w:ind w:firstLine="560" w:firstLineChars="200"/>
        <w:jc w:val="both"/>
        <w:rPr>
          <w:rFonts w:hint="eastAsia" w:ascii="仿宋" w:hAnsi="仿宋" w:eastAsia="仿宋"/>
          <w:sz w:val="28"/>
          <w:szCs w:val="28"/>
          <w:highlight w:val="none"/>
        </w:rPr>
        <w:sectPr>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p>
    <w:p>
      <w:pPr>
        <w:ind w:firstLine="560" w:firstLineChars="200"/>
        <w:rPr>
          <w:rFonts w:ascii="仿宋" w:hAnsi="仿宋" w:eastAsia="仿宋" w:cs="仿宋"/>
          <w:color w:val="000000"/>
          <w:sz w:val="28"/>
        </w:rPr>
      </w:pPr>
      <w:r>
        <w:rPr>
          <w:rFonts w:hint="eastAsia" w:ascii="仿宋" w:hAnsi="仿宋" w:eastAsia="仿宋" w:cs="仿宋"/>
          <w:color w:val="000000"/>
          <w:sz w:val="28"/>
        </w:rPr>
        <w:t>2.</w:t>
      </w:r>
      <w:r>
        <w:rPr>
          <w:rFonts w:ascii="仿宋" w:hAnsi="仿宋" w:eastAsia="仿宋" w:cs="仿宋"/>
          <w:color w:val="000000"/>
          <w:sz w:val="28"/>
        </w:rPr>
        <w:t>质量控制流程。</w:t>
      </w:r>
    </w:p>
    <w:p>
      <w:pPr>
        <w:ind w:firstLine="560" w:firstLineChars="200"/>
        <w:rPr>
          <w:rFonts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w:t>
      </w:r>
      <w:r>
        <w:rPr>
          <w:rFonts w:hint="eastAsia" w:ascii="仿宋" w:hAnsi="仿宋" w:eastAsia="仿宋" w:cs="仿宋"/>
          <w:sz w:val="28"/>
          <w:lang w:eastAsia="zh-CN"/>
        </w:rPr>
        <w:t>项目</w:t>
      </w:r>
      <w:r>
        <w:rPr>
          <w:rFonts w:ascii="仿宋" w:hAnsi="仿宋" w:eastAsia="仿宋" w:cs="仿宋"/>
          <w:sz w:val="28"/>
        </w:rPr>
        <w:t>运营管理能力展示。</w:t>
      </w:r>
    </w:p>
    <w:p>
      <w:pPr>
        <w:ind w:firstLine="560" w:firstLineChars="200"/>
        <w:rPr>
          <w:rFonts w:ascii="仿宋" w:hAnsi="仿宋" w:eastAsia="仿宋" w:cs="仿宋"/>
          <w:sz w:val="28"/>
        </w:rPr>
      </w:pPr>
      <w:r>
        <w:rPr>
          <w:rFonts w:hint="eastAsia" w:ascii="仿宋" w:hAnsi="仿宋" w:eastAsia="仿宋" w:cs="仿宋"/>
          <w:sz w:val="28"/>
          <w:lang w:val="en-US" w:eastAsia="zh-CN"/>
        </w:rPr>
        <w:t>4</w:t>
      </w:r>
      <w:r>
        <w:rPr>
          <w:rFonts w:hint="eastAsia" w:ascii="仿宋" w:hAnsi="仿宋" w:eastAsia="仿宋" w:cs="仿宋"/>
          <w:sz w:val="28"/>
        </w:rPr>
        <w:t>.</w:t>
      </w:r>
      <w:r>
        <w:rPr>
          <w:rFonts w:ascii="仿宋" w:hAnsi="仿宋" w:eastAsia="仿宋" w:cs="仿宋"/>
          <w:sz w:val="28"/>
        </w:rPr>
        <w:t>业绩展示。</w:t>
      </w:r>
    </w:p>
    <w:p>
      <w:pPr>
        <w:ind w:firstLine="560" w:firstLineChars="200"/>
        <w:rPr>
          <w:rFonts w:ascii="仿宋" w:hAnsi="仿宋" w:eastAsia="仿宋" w:cs="仿宋"/>
          <w:sz w:val="28"/>
        </w:rPr>
      </w:pPr>
      <w:r>
        <w:rPr>
          <w:rFonts w:hint="eastAsia" w:ascii="仿宋" w:hAnsi="仿宋" w:eastAsia="仿宋" w:cs="仿宋"/>
          <w:sz w:val="28"/>
          <w:lang w:val="en-US" w:eastAsia="zh-CN"/>
        </w:rPr>
        <w:t>5</w:t>
      </w:r>
      <w:r>
        <w:rPr>
          <w:rFonts w:hint="eastAsia" w:ascii="仿宋" w:hAnsi="仿宋" w:eastAsia="仿宋" w:cs="仿宋"/>
          <w:sz w:val="28"/>
        </w:rPr>
        <w:t>.技术创新能力</w:t>
      </w:r>
      <w:r>
        <w:rPr>
          <w:rFonts w:hint="eastAsia" w:ascii="仿宋" w:hAnsi="仿宋" w:eastAsia="仿宋" w:cs="仿宋"/>
          <w:sz w:val="28"/>
          <w:lang w:eastAsia="zh-CN"/>
        </w:rPr>
        <w:t>以及</w:t>
      </w:r>
      <w:r>
        <w:rPr>
          <w:rFonts w:ascii="仿宋" w:hAnsi="仿宋" w:eastAsia="仿宋" w:cs="仿宋"/>
          <w:sz w:val="28"/>
        </w:rPr>
        <w:t>科研学术支持。</w:t>
      </w:r>
    </w:p>
    <w:p>
      <w:pPr>
        <w:ind w:firstLine="560" w:firstLineChars="200"/>
        <w:rPr>
          <w:rFonts w:ascii="仿宋" w:hAnsi="仿宋" w:eastAsia="仿宋" w:cs="仿宋"/>
          <w:sz w:val="28"/>
        </w:rPr>
      </w:pPr>
      <w:r>
        <w:rPr>
          <w:rFonts w:hint="eastAsia" w:ascii="仿宋" w:hAnsi="仿宋" w:eastAsia="仿宋" w:cs="仿宋"/>
          <w:sz w:val="28"/>
          <w:lang w:val="en-US" w:eastAsia="zh-CN"/>
        </w:rPr>
        <w:t>6.</w:t>
      </w:r>
      <w:r>
        <w:rPr>
          <w:rFonts w:ascii="仿宋" w:hAnsi="仿宋" w:eastAsia="仿宋" w:cs="仿宋"/>
          <w:sz w:val="28"/>
        </w:rPr>
        <w:t>应急保障措施。</w:t>
      </w:r>
    </w:p>
    <w:p>
      <w:pPr>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7.</w:t>
      </w:r>
      <w:r>
        <w:rPr>
          <w:rFonts w:hint="eastAsia" w:ascii="仿宋" w:hAnsi="仿宋" w:eastAsia="仿宋" w:cs="仿宋"/>
          <w:sz w:val="28"/>
          <w:lang w:eastAsia="zh-CN"/>
        </w:rPr>
        <w:t>投诉处理措施。</w:t>
      </w:r>
    </w:p>
    <w:p>
      <w:pPr>
        <w:rPr>
          <w:rFonts w:ascii="仿宋" w:hAnsi="仿宋" w:eastAsia="仿宋" w:cs="仿宋"/>
          <w:sz w:val="32"/>
        </w:rPr>
      </w:pPr>
    </w:p>
    <w:p>
      <w:pPr>
        <w:rPr>
          <w:rFonts w:ascii="仿宋" w:hAnsi="仿宋" w:eastAsia="仿宋" w:cs="仿宋"/>
          <w:sz w:val="32"/>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ind w:left="0" w:leftChars="0" w:firstLine="0" w:firstLineChars="0"/>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3219" w:firstLineChars="1002"/>
        <w:rPr>
          <w:rFonts w:hint="eastAsia" w:ascii="仿宋" w:hAnsi="仿宋" w:eastAsia="仿宋" w:cstheme="minorBidi"/>
          <w:b/>
          <w:spacing w:val="0"/>
          <w:sz w:val="32"/>
          <w:szCs w:val="28"/>
          <w:lang w:eastAsia="zh-CN"/>
        </w:rPr>
      </w:pPr>
      <w:r>
        <w:rPr>
          <w:rFonts w:hint="eastAsia" w:ascii="仿宋" w:hAnsi="仿宋" w:eastAsia="仿宋" w:cstheme="minorBidi"/>
          <w:b/>
          <w:spacing w:val="0"/>
          <w:sz w:val="32"/>
          <w:szCs w:val="28"/>
          <w:lang w:eastAsia="zh-CN"/>
        </w:rPr>
        <w:t>报价表</w:t>
      </w:r>
    </w:p>
    <w:p/>
    <w:tbl>
      <w:tblPr>
        <w:tblStyle w:val="4"/>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912"/>
        <w:gridCol w:w="3066"/>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10" w:type="dxa"/>
            <w:vAlign w:val="center"/>
          </w:tcPr>
          <w:p>
            <w:pPr>
              <w:topLinePunct/>
              <w:adjustRightInd w:val="0"/>
              <w:spacing w:line="360" w:lineRule="auto"/>
              <w:jc w:val="center"/>
              <w:rPr>
                <w:rFonts w:hint="eastAsia" w:ascii="黑体" w:hAnsi="黑体" w:eastAsia="黑体" w:cs="黑体"/>
                <w:color w:val="000000"/>
                <w:szCs w:val="24"/>
                <w:lang w:eastAsia="zh-CN"/>
              </w:rPr>
            </w:pPr>
            <w:r>
              <w:rPr>
                <w:rFonts w:hint="eastAsia" w:ascii="黑体" w:hAnsi="黑体" w:eastAsia="黑体" w:cs="黑体"/>
                <w:color w:val="000000"/>
                <w:szCs w:val="24"/>
                <w:lang w:eastAsia="zh-CN"/>
              </w:rPr>
              <w:t>序号</w:t>
            </w:r>
          </w:p>
        </w:tc>
        <w:tc>
          <w:tcPr>
            <w:tcW w:w="2912"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报价项目</w:t>
            </w:r>
          </w:p>
        </w:tc>
        <w:tc>
          <w:tcPr>
            <w:tcW w:w="3066"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报价</w:t>
            </w:r>
          </w:p>
        </w:tc>
        <w:tc>
          <w:tcPr>
            <w:tcW w:w="2281"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10" w:type="dxa"/>
            <w:vAlign w:val="center"/>
          </w:tcPr>
          <w:p>
            <w:pPr>
              <w:topLinePunct/>
              <w:adjustRightInd w:val="0"/>
              <w:spacing w:line="360" w:lineRule="auto"/>
              <w:jc w:val="center"/>
              <w:rPr>
                <w:rFonts w:hint="eastAsia" w:asciiTheme="minorEastAsia" w:hAnsiTheme="minorEastAsia" w:eastAsiaTheme="minorEastAsia" w:cstheme="minorEastAsia"/>
                <w:color w:val="000000"/>
                <w:sz w:val="22"/>
                <w:szCs w:val="24"/>
                <w:lang w:val="en-US" w:eastAsia="zh-CN"/>
              </w:rPr>
            </w:pPr>
            <w:r>
              <w:rPr>
                <w:rFonts w:hint="eastAsia" w:asciiTheme="minorEastAsia" w:hAnsiTheme="minorEastAsia" w:cstheme="minorEastAsia"/>
                <w:color w:val="000000"/>
                <w:sz w:val="22"/>
                <w:szCs w:val="24"/>
                <w:lang w:val="en-US" w:eastAsia="zh-CN"/>
              </w:rPr>
              <w:t>1</w:t>
            </w:r>
          </w:p>
        </w:tc>
        <w:tc>
          <w:tcPr>
            <w:tcW w:w="2912" w:type="dxa"/>
            <w:vAlign w:val="center"/>
          </w:tcPr>
          <w:p>
            <w:pPr>
              <w:topLinePunct/>
              <w:adjustRightInd w:val="0"/>
              <w:spacing w:line="360" w:lineRule="auto"/>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项目合作费用：</w:t>
            </w:r>
          </w:p>
          <w:p>
            <w:pPr>
              <w:topLinePunct/>
              <w:adjustRightInd w:val="0"/>
              <w:spacing w:line="360" w:lineRule="auto"/>
              <w:jc w:val="center"/>
              <w:rPr>
                <w:rFonts w:hint="default" w:asciiTheme="minorEastAsia" w:hAnsiTheme="minorEastAsia" w:eastAsiaTheme="minorEastAsia" w:cstheme="minorEastAsia"/>
                <w:color w:val="000000"/>
                <w:kern w:val="2"/>
                <w:sz w:val="22"/>
                <w:szCs w:val="24"/>
                <w:lang w:val="en-US" w:eastAsia="zh-CN" w:bidi="ar-SA"/>
              </w:rPr>
            </w:pPr>
            <w:r>
              <w:rPr>
                <w:rFonts w:hint="eastAsia" w:ascii="仿宋" w:hAnsi="仿宋" w:eastAsia="仿宋"/>
                <w:sz w:val="24"/>
                <w:szCs w:val="24"/>
                <w:highlight w:val="none"/>
                <w:lang w:val="en-US" w:eastAsia="zh-CN"/>
              </w:rPr>
              <w:t>医疗服务项目收费标准的</w:t>
            </w:r>
            <w:r>
              <w:rPr>
                <w:rFonts w:hint="eastAsia" w:ascii="仿宋" w:hAnsi="仿宋" w:eastAsia="仿宋"/>
                <w:sz w:val="24"/>
                <w:szCs w:val="24"/>
                <w:highlight w:val="none"/>
                <w:u w:val="single"/>
                <w:lang w:val="en-US" w:eastAsia="zh-CN"/>
              </w:rPr>
              <w:t xml:space="preserve">    %</w:t>
            </w:r>
          </w:p>
        </w:tc>
        <w:tc>
          <w:tcPr>
            <w:tcW w:w="3066" w:type="dxa"/>
            <w:vAlign w:val="center"/>
          </w:tcPr>
          <w:p>
            <w:pPr>
              <w:topLinePunct/>
              <w:adjustRightInd w:val="0"/>
              <w:spacing w:line="360" w:lineRule="auto"/>
              <w:ind w:firstLine="420" w:firstLineChars="0"/>
              <w:jc w:val="center"/>
              <w:rPr>
                <w:rFonts w:asciiTheme="minorEastAsia" w:hAnsiTheme="minorEastAsia" w:eastAsiaTheme="minorEastAsia" w:cstheme="minorEastAsia"/>
                <w:color w:val="000000"/>
                <w:kern w:val="2"/>
                <w:sz w:val="22"/>
                <w:szCs w:val="24"/>
                <w:lang w:val="en-US" w:eastAsia="zh-CN" w:bidi="ar-SA"/>
              </w:rPr>
            </w:pPr>
          </w:p>
        </w:tc>
        <w:tc>
          <w:tcPr>
            <w:tcW w:w="2281" w:type="dxa"/>
            <w:vAlign w:val="center"/>
          </w:tcPr>
          <w:p>
            <w:pPr>
              <w:topLinePunct/>
              <w:adjustRightInd w:val="0"/>
              <w:spacing w:line="360" w:lineRule="auto"/>
              <w:jc w:val="center"/>
              <w:rPr>
                <w:rFonts w:hint="eastAsia" w:asciiTheme="minorEastAsia" w:hAnsiTheme="minorEastAsia" w:eastAsiaTheme="minorEastAsia" w:cstheme="minorEastAsia"/>
                <w:color w:val="000000"/>
                <w:kern w:val="2"/>
                <w:sz w:val="22"/>
                <w:szCs w:val="24"/>
                <w:lang w:val="en-US" w:eastAsia="zh-CN" w:bidi="ar-SA"/>
              </w:rPr>
            </w:pPr>
            <w:r>
              <w:rPr>
                <w:rFonts w:hint="eastAsia" w:ascii="仿宋" w:hAnsi="仿宋" w:eastAsia="仿宋"/>
                <w:sz w:val="24"/>
                <w:szCs w:val="24"/>
                <w:highlight w:val="none"/>
                <w:lang w:val="en-US" w:eastAsia="zh-CN"/>
              </w:rPr>
              <w:t>项目合作费用为参选机构定期与我院结算的费用</w:t>
            </w:r>
          </w:p>
        </w:tc>
      </w:tr>
    </w:tbl>
    <w:p>
      <w:pPr>
        <w:pStyle w:val="3"/>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olor w:val="auto"/>
          <w:sz w:val="24"/>
          <w:szCs w:val="24"/>
        </w:rPr>
        <w:t>备注：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pacing w:val="-6"/>
          <w:sz w:val="24"/>
          <w:szCs w:val="21"/>
          <w:highlight w:val="none"/>
          <w:vertAlign w:val="baseline"/>
          <w:lang w:val="en-US" w:eastAsia="zh-CN"/>
        </w:rPr>
        <w:t>1.“报价表”为多页的，每页均需由法定代表人或授权代表签字并盖参选机构鲜章。</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2.报价包括完成本项目所涉及的人工劳务、设备投入、材料、知识产权、利润、风险、税金等一切费用。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仿宋" w:hAnsi="仿宋" w:eastAsia="仿宋" w:cs="仿宋"/>
          <w:color w:val="auto"/>
          <w:sz w:val="24"/>
          <w:szCs w:val="21"/>
          <w:highlight w:val="none"/>
          <w:vertAlign w:val="baseline"/>
          <w:lang w:val="en-US" w:eastAsia="zh-CN"/>
        </w:rPr>
      </w:pPr>
      <w:r>
        <w:rPr>
          <w:rFonts w:hint="eastAsia" w:ascii="仿宋" w:hAnsi="仿宋" w:eastAsia="仿宋"/>
          <w:sz w:val="24"/>
          <w:szCs w:val="24"/>
          <w:highlight w:val="none"/>
          <w:lang w:val="en-US" w:eastAsia="zh-CN"/>
        </w:rPr>
        <w:t>3.医疗服务项目收费标准见附件10。</w:t>
      </w:r>
    </w:p>
    <w:p>
      <w:pPr>
        <w:rPr>
          <w:rFonts w:hint="eastAsia" w:ascii="仿宋" w:hAnsi="仿宋" w:eastAsia="仿宋" w:cs="仿宋"/>
          <w:color w:val="auto"/>
          <w:sz w:val="24"/>
          <w:szCs w:val="21"/>
          <w:highlight w:val="none"/>
          <w:vertAlign w:val="baseline"/>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三、资质要求 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四、</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hint="eastAsia" w:ascii="仿宋" w:hAnsi="仿宋" w:eastAsia="仿宋"/>
          <w:sz w:val="28"/>
          <w:szCs w:val="28"/>
        </w:rPr>
      </w:pPr>
    </w:p>
    <w:p>
      <w:pPr>
        <w:rPr>
          <w:rFonts w:ascii="仿宋" w:hAnsi="仿宋" w:eastAsia="仿宋"/>
          <w:sz w:val="28"/>
          <w:szCs w:val="28"/>
        </w:rPr>
      </w:pPr>
    </w:p>
    <w:p>
      <w:pPr>
        <w:pStyle w:val="3"/>
        <w:rPr>
          <w:rFonts w:ascii="仿宋" w:hAnsi="仿宋" w:eastAsia="仿宋"/>
          <w:sz w:val="28"/>
          <w:szCs w:val="28"/>
        </w:rPr>
      </w:pPr>
    </w:p>
    <w:p>
      <w:pPr>
        <w:pStyle w:val="3"/>
        <w:rPr>
          <w:rFonts w:ascii="仿宋" w:hAnsi="仿宋" w:eastAsia="仿宋"/>
          <w:sz w:val="28"/>
          <w:szCs w:val="28"/>
        </w:rPr>
      </w:pPr>
    </w:p>
    <w:p>
      <w:pPr>
        <w:pStyle w:val="3"/>
        <w:rPr>
          <w:rFonts w:ascii="仿宋" w:hAnsi="仿宋" w:eastAsia="仿宋"/>
          <w:sz w:val="28"/>
          <w:szCs w:val="28"/>
        </w:rPr>
      </w:pPr>
    </w:p>
    <w:p>
      <w:pPr>
        <w:pStyle w:val="3"/>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四、技术服务要求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无围标、串标行为承诺书</w:t>
      </w:r>
    </w:p>
    <w:p>
      <w:pPr>
        <w:ind w:firstLine="560" w:firstLineChars="200"/>
        <w:rPr>
          <w:rFonts w:ascii="仿宋" w:hAnsi="仿宋" w:eastAsia="仿宋"/>
          <w:sz w:val="28"/>
          <w:szCs w:val="28"/>
        </w:rPr>
      </w:pPr>
      <w:r>
        <w:rPr>
          <w:rFonts w:hint="eastAsia" w:ascii="仿宋" w:hAnsi="仿宋" w:eastAsia="仿宋"/>
          <w:sz w:val="28"/>
          <w:szCs w:val="28"/>
        </w:rPr>
        <w:t>本公司郑重承诺：我公司自觉遵守《中华人民共和国政府采购法》和《中华人民共和国政府采购法实施条例》的有关规定，我公司在参加本次项目（项目名称：XXXXXXX）遴选活动中，无以下围标、串标行为：</w:t>
      </w:r>
    </w:p>
    <w:p>
      <w:pPr>
        <w:ind w:firstLine="560" w:firstLineChars="200"/>
        <w:rPr>
          <w:rFonts w:ascii="仿宋" w:hAnsi="仿宋" w:eastAsia="仿宋"/>
          <w:sz w:val="28"/>
          <w:szCs w:val="28"/>
        </w:rPr>
      </w:pPr>
      <w:r>
        <w:rPr>
          <w:rFonts w:hint="eastAsia" w:ascii="仿宋" w:hAnsi="仿宋" w:eastAsia="仿宋"/>
          <w:sz w:val="28"/>
          <w:szCs w:val="28"/>
        </w:rPr>
        <w:t>1.不同参选机构的参选文件由同一单位或者个人编制；</w:t>
      </w:r>
    </w:p>
    <w:p>
      <w:pPr>
        <w:ind w:firstLine="560" w:firstLineChars="200"/>
        <w:rPr>
          <w:rFonts w:ascii="仿宋" w:hAnsi="仿宋" w:eastAsia="仿宋"/>
          <w:sz w:val="28"/>
          <w:szCs w:val="28"/>
        </w:rPr>
      </w:pPr>
      <w:r>
        <w:rPr>
          <w:rFonts w:hint="eastAsia" w:ascii="仿宋" w:hAnsi="仿宋" w:eastAsia="仿宋"/>
          <w:sz w:val="28"/>
          <w:szCs w:val="28"/>
        </w:rPr>
        <w:t>2.不同参选机构委托同一单位或者个人办理遴选事宜；</w:t>
      </w:r>
    </w:p>
    <w:p>
      <w:pPr>
        <w:ind w:firstLine="560" w:firstLineChars="200"/>
        <w:rPr>
          <w:rFonts w:ascii="仿宋" w:hAnsi="仿宋" w:eastAsia="仿宋"/>
          <w:sz w:val="28"/>
          <w:szCs w:val="28"/>
        </w:rPr>
      </w:pPr>
      <w:r>
        <w:rPr>
          <w:rFonts w:hint="eastAsia" w:ascii="仿宋" w:hAnsi="仿宋" w:eastAsia="仿宋"/>
          <w:sz w:val="28"/>
          <w:szCs w:val="28"/>
        </w:rPr>
        <w:t>3.不同参选机构的参选文件载明的项目管理成员或者联系人员为同一人；</w:t>
      </w:r>
    </w:p>
    <w:p>
      <w:pPr>
        <w:ind w:firstLine="560" w:firstLineChars="200"/>
        <w:rPr>
          <w:rFonts w:ascii="仿宋" w:hAnsi="仿宋" w:eastAsia="仿宋"/>
          <w:sz w:val="28"/>
          <w:szCs w:val="28"/>
        </w:rPr>
      </w:pPr>
      <w:r>
        <w:rPr>
          <w:rFonts w:hint="eastAsia" w:ascii="仿宋" w:hAnsi="仿宋" w:eastAsia="仿宋"/>
          <w:sz w:val="28"/>
          <w:szCs w:val="28"/>
        </w:rPr>
        <w:t>4.不同参选机构的参选文件异常一致或者投标报价呈规律性差异；</w:t>
      </w:r>
    </w:p>
    <w:p>
      <w:pPr>
        <w:ind w:firstLine="560" w:firstLineChars="200"/>
        <w:rPr>
          <w:rFonts w:ascii="仿宋" w:hAnsi="仿宋" w:eastAsia="仿宋"/>
          <w:sz w:val="28"/>
          <w:szCs w:val="28"/>
        </w:rPr>
      </w:pPr>
      <w:r>
        <w:rPr>
          <w:rFonts w:hint="eastAsia" w:ascii="仿宋" w:hAnsi="仿宋" w:eastAsia="仿宋"/>
          <w:sz w:val="28"/>
          <w:szCs w:val="28"/>
        </w:rPr>
        <w:t>5.不同参选机构的参选文件相互混装；</w:t>
      </w:r>
    </w:p>
    <w:p>
      <w:pPr>
        <w:ind w:firstLine="560" w:firstLineChars="200"/>
        <w:rPr>
          <w:rFonts w:ascii="仿宋" w:hAnsi="仿宋" w:eastAsia="仿宋"/>
          <w:sz w:val="28"/>
          <w:szCs w:val="28"/>
        </w:rPr>
      </w:pPr>
      <w:r>
        <w:rPr>
          <w:rFonts w:hint="eastAsia" w:ascii="仿宋" w:hAnsi="仿宋" w:eastAsia="仿宋"/>
          <w:sz w:val="28"/>
          <w:szCs w:val="28"/>
        </w:rPr>
        <w:t>6.不同参选机构的投标保证金从同一单位或者个人的账户转出；</w:t>
      </w:r>
    </w:p>
    <w:p>
      <w:pPr>
        <w:ind w:firstLine="560" w:firstLineChars="200"/>
        <w:rPr>
          <w:rFonts w:ascii="仿宋" w:hAnsi="仿宋" w:eastAsia="仿宋"/>
          <w:sz w:val="28"/>
          <w:szCs w:val="28"/>
        </w:rPr>
      </w:pPr>
      <w:r>
        <w:rPr>
          <w:rFonts w:hint="eastAsia" w:ascii="仿宋" w:hAnsi="仿宋" w:eastAsia="仿宋"/>
          <w:sz w:val="28"/>
          <w:szCs w:val="28"/>
        </w:rPr>
        <w:t>7.不同参选机构的董事、监事、高管、单位负责人为同一人或者存在控股、管理关系的不同单位参加同一遴选项目；</w:t>
      </w:r>
    </w:p>
    <w:p>
      <w:pPr>
        <w:ind w:firstLine="560" w:firstLineChars="200"/>
        <w:rPr>
          <w:rFonts w:ascii="仿宋" w:hAnsi="仿宋" w:eastAsia="仿宋"/>
          <w:sz w:val="28"/>
          <w:szCs w:val="28"/>
        </w:rPr>
      </w:pPr>
      <w:r>
        <w:rPr>
          <w:rFonts w:hint="eastAsia" w:ascii="仿宋" w:hAnsi="仿宋" w:eastAsia="仿宋"/>
          <w:sz w:val="28"/>
          <w:szCs w:val="28"/>
        </w:rPr>
        <w:t>8.参选机构之间事先约定由某一特定机构中标、成交；</w:t>
      </w:r>
    </w:p>
    <w:p>
      <w:pPr>
        <w:ind w:firstLine="560" w:firstLineChars="200"/>
        <w:rPr>
          <w:rFonts w:ascii="仿宋" w:hAnsi="仿宋" w:eastAsia="仿宋"/>
          <w:sz w:val="28"/>
          <w:szCs w:val="28"/>
        </w:rPr>
      </w:pPr>
      <w:r>
        <w:rPr>
          <w:rFonts w:hint="eastAsia" w:ascii="仿宋" w:hAnsi="仿宋" w:eastAsia="仿宋"/>
          <w:sz w:val="28"/>
          <w:szCs w:val="28"/>
        </w:rPr>
        <w:t>9.参选机构之间商定部分机构放弃参加遴选活动或者放弃中标、成交；</w:t>
      </w:r>
    </w:p>
    <w:p>
      <w:pPr>
        <w:ind w:firstLine="560" w:firstLineChars="200"/>
        <w:rPr>
          <w:rFonts w:ascii="仿宋" w:hAnsi="仿宋" w:eastAsia="仿宋"/>
          <w:sz w:val="28"/>
          <w:szCs w:val="28"/>
        </w:rPr>
      </w:pPr>
      <w:r>
        <w:rPr>
          <w:rFonts w:hint="eastAsia" w:ascii="仿宋" w:hAnsi="仿宋" w:eastAsia="仿宋"/>
          <w:sz w:val="28"/>
          <w:szCs w:val="28"/>
        </w:rPr>
        <w:t>10.法律法规界定的其他围标串标行为。</w:t>
      </w:r>
    </w:p>
    <w:p>
      <w:pPr>
        <w:ind w:firstLine="560" w:firstLineChars="200"/>
        <w:rPr>
          <w:rFonts w:ascii="仿宋" w:hAnsi="仿宋" w:eastAsia="仿宋"/>
          <w:sz w:val="28"/>
          <w:szCs w:val="28"/>
        </w:rPr>
      </w:pPr>
      <w:r>
        <w:rPr>
          <w:rFonts w:hint="eastAsia" w:ascii="仿宋" w:hAnsi="仿宋" w:eastAsia="仿宋"/>
          <w:sz w:val="28"/>
          <w:szCs w:val="28"/>
        </w:rPr>
        <w:t>我公司承诺在本项目遴选活动中，与遴选人不存在关联关系，与其他投标单位不存在关联关系。如被查实在本项目遴选活动中存在围标、串标的，本公司将承担法律责任，接受相应的法律法规处罚。</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投标人法人代表或委托代理人（承诺人） ：</w:t>
      </w:r>
    </w:p>
    <w:p>
      <w:pPr>
        <w:ind w:firstLine="560" w:firstLineChars="200"/>
        <w:rPr>
          <w:rFonts w:ascii="仿宋" w:hAnsi="仿宋" w:eastAsia="仿宋"/>
          <w:sz w:val="28"/>
          <w:szCs w:val="28"/>
        </w:rPr>
      </w:pPr>
      <w:r>
        <w:rPr>
          <w:rFonts w:hint="eastAsia" w:ascii="仿宋" w:hAnsi="仿宋" w:eastAsia="仿宋"/>
          <w:sz w:val="28"/>
          <w:szCs w:val="28"/>
        </w:rPr>
        <w:t xml:space="preserve">投标人：（公章）  </w:t>
      </w:r>
    </w:p>
    <w:p>
      <w:pPr>
        <w:ind w:firstLine="560" w:firstLineChars="200"/>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rPr>
        <w:t>日期：   年    月    日</w:t>
      </w:r>
    </w:p>
    <w:p>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rPr>
        <w:t>评审办法（综合评分明细表）</w:t>
      </w:r>
    </w:p>
    <w:tbl>
      <w:tblPr>
        <w:tblStyle w:val="4"/>
        <w:tblW w:w="85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965"/>
        <w:gridCol w:w="955"/>
        <w:gridCol w:w="3823"/>
        <w:gridCol w:w="698"/>
        <w:gridCol w:w="1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评分因素及权重</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分值</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评分标准</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得分</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价格（30%）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项目合作费用：满足遴选文件要求且比例最高的投标报价为评标基准价，其价格分为满分30分。其他投标单位的价格统一按照下列公式计算：投标报价得分=（投标报价/评标基准价）×30。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评分的取值按四舍五入法，保留小数点后两位。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技术要求（3</w:t>
            </w:r>
            <w:r>
              <w:rPr>
                <w:rFonts w:hint="default" w:ascii="仿宋" w:hAnsi="仿宋" w:eastAsia="仿宋" w:cs="仿宋"/>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default" w:ascii="仿宋" w:hAnsi="仿宋" w:eastAsia="仿宋" w:cs="仿宋"/>
                <w:i w:val="0"/>
                <w:iCs w:val="0"/>
                <w:color w:val="000000"/>
                <w:kern w:val="0"/>
                <w:sz w:val="24"/>
                <w:szCs w:val="24"/>
                <w:u w:val="none"/>
                <w:lang w:val="en-US" w:eastAsia="zh-CN" w:bidi="ar"/>
              </w:rPr>
              <w:t>32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1.参选机构带*条款的响应得分规则如下：全部满足带*条为满分，不满足一条扣</w:t>
            </w:r>
            <w:r>
              <w:rPr>
                <w:rFonts w:hint="default" w:ascii="仿宋" w:hAnsi="仿宋" w:eastAsia="仿宋" w:cs="仿宋"/>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①</w:t>
            </w:r>
            <w:r>
              <w:rPr>
                <w:rFonts w:hint="eastAsia" w:ascii="仿宋" w:hAnsi="仿宋" w:eastAsia="仿宋" w:cs="仿宋"/>
                <w:i w:val="0"/>
                <w:iCs w:val="0"/>
                <w:color w:val="000000" w:themeColor="text1"/>
                <w:sz w:val="24"/>
                <w:szCs w:val="24"/>
                <w:u w:val="none"/>
                <w14:textFill>
                  <w14:solidFill>
                    <w14:schemeClr w14:val="tx1"/>
                  </w14:solidFill>
                </w14:textFill>
              </w:rPr>
              <w:t>响应内容应提供承诺函或其他纸质证明材料并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themeColor="text1"/>
                <w:sz w:val="24"/>
                <w:szCs w:val="24"/>
                <w:u w:val="none"/>
                <w14:textFill>
                  <w14:solidFill>
                    <w14:schemeClr w14:val="tx1"/>
                  </w14:solidFill>
                </w14:textFill>
              </w:rPr>
              <w:t>加盖参选机构鲜章。</w:t>
            </w:r>
          </w:p>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②</w:t>
            </w:r>
            <w:r>
              <w:rPr>
                <w:rFonts w:hint="eastAsia" w:ascii="仿宋" w:hAnsi="仿宋" w:eastAsia="仿宋" w:cs="仿宋"/>
                <w:i w:val="0"/>
                <w:iCs w:val="0"/>
                <w:color w:val="000000" w:themeColor="text1"/>
                <w:sz w:val="24"/>
                <w:szCs w:val="24"/>
                <w:u w:val="none"/>
                <w14:textFill>
                  <w14:solidFill>
                    <w14:schemeClr w14:val="tx1"/>
                  </w14:solidFill>
                </w14:textFill>
              </w:rPr>
              <w:t>带*条款为重要条款的响应。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2.参选机构一般条款的响应得分规则如下：（一般条款是指：除标注“*” 的条款以外的所有条款）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全部满足为满分，不满足一条扣</w:t>
            </w:r>
            <w:r>
              <w:rPr>
                <w:rFonts w:hint="default"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业绩证明文件，参选机构提供2020年以来，在国内同类合作项目，以3家为基数，满足得6分，不满足不得分；每超过1家加1分，最多加2分。</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提供合同复印件并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kern w:val="0"/>
                <w:sz w:val="24"/>
                <w:szCs w:val="24"/>
                <w:u w:val="none"/>
                <w:lang w:val="en-US" w:eastAsia="zh-CN" w:bidi="ar"/>
              </w:rPr>
              <w:t>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6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合作方案与服务能力（</w:t>
            </w:r>
            <w:r>
              <w:rPr>
                <w:rFonts w:hint="default" w:ascii="仿宋" w:hAnsi="仿宋" w:eastAsia="仿宋" w:cs="仿宋"/>
                <w:i w:val="0"/>
                <w:iCs w:val="0"/>
                <w:color w:val="000000"/>
                <w:kern w:val="0"/>
                <w:sz w:val="24"/>
                <w:szCs w:val="24"/>
                <w:u w:val="none"/>
                <w:lang w:val="en-US" w:eastAsia="zh-CN" w:bidi="ar"/>
              </w:rPr>
              <w:t>24</w:t>
            </w:r>
            <w:r>
              <w:rPr>
                <w:rFonts w:hint="eastAsia" w:ascii="仿宋" w:hAnsi="仿宋" w:eastAsia="仿宋" w:cs="仿宋"/>
                <w:i w:val="0"/>
                <w:iCs w:val="0"/>
                <w:color w:val="000000"/>
                <w:kern w:val="0"/>
                <w:sz w:val="24"/>
                <w:szCs w:val="24"/>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所提供服务方案的整体质量、可行性进行打分：在要求的合作模式下，有完整的运行流程；质量控制流程；项目运营管理能力展示；参选机构在医学影像诊断方面的技术创新能力，具备帮助医院提升科研学术的能力；有及时响应的应急保障措施；具备有效的投诉处理措施。要求方案清晰、科学、完善、可行性高。提供上述六项方案的，得24分，有一项未提供扣4分，扣完为止。</w:t>
            </w:r>
          </w:p>
        </w:tc>
        <w:tc>
          <w:tcPr>
            <w:tcW w:w="698"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提供证明材料</w:t>
            </w:r>
            <w:r>
              <w:rPr>
                <w:rFonts w:hint="eastAsia" w:ascii="仿宋" w:hAnsi="仿宋" w:eastAsia="仿宋" w:cs="仿宋"/>
                <w:i w:val="0"/>
                <w:iCs w:val="0"/>
                <w:color w:val="000000"/>
                <w:kern w:val="0"/>
                <w:sz w:val="24"/>
                <w:szCs w:val="24"/>
                <w:u w:val="none"/>
                <w:lang w:val="en-US" w:eastAsia="zh-CN" w:bidi="ar"/>
              </w:rPr>
              <w:t>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kern w:val="0"/>
                <w:sz w:val="24"/>
                <w:szCs w:val="24"/>
                <w:u w:val="none"/>
                <w:lang w:val="en-US" w:eastAsia="zh-CN" w:bidi="ar"/>
              </w:rPr>
              <w:t>加盖参选机构鲜章。</w:t>
            </w:r>
          </w:p>
          <w:p>
            <w:pPr>
              <w:rPr>
                <w:rFonts w:hint="eastAsia" w:ascii="仿宋" w:hAnsi="仿宋" w:eastAsia="仿宋" w:cs="仿宋"/>
                <w:i w:val="0"/>
                <w:iCs w:val="0"/>
                <w:color w:val="000000"/>
                <w:sz w:val="24"/>
                <w:szCs w:val="24"/>
                <w:u w:val="none"/>
              </w:rPr>
            </w:pPr>
          </w:p>
        </w:tc>
      </w:tr>
    </w:tbl>
    <w:p>
      <w:pPr>
        <w:rPr>
          <w:rFonts w:hint="eastAsia" w:ascii="仿宋" w:hAnsi="仿宋" w:eastAsia="仿宋" w:cs="仿宋"/>
          <w:sz w:val="24"/>
          <w:szCs w:val="24"/>
        </w:rPr>
        <w:sectPr>
          <w:pgSz w:w="11906" w:h="16838"/>
          <w:pgMar w:top="1440" w:right="1797" w:bottom="1440" w:left="1797" w:header="851" w:footer="992" w:gutter="0"/>
          <w:pgNumType w:fmt="decimal"/>
          <w:cols w:space="425" w:num="1"/>
          <w:docGrid w:type="lines" w:linePitch="312" w:charSpace="0"/>
        </w:sectPr>
      </w:pPr>
    </w:p>
    <w:p>
      <w:pPr>
        <w:pStyle w:val="2"/>
        <w:tabs>
          <w:tab w:val="left" w:pos="0"/>
        </w:tabs>
        <w:jc w:val="left"/>
        <w:outlineLvl w:val="0"/>
        <w:rPr>
          <w:rFonts w:hint="eastAsia" w:ascii="仿宋" w:hAnsi="仿宋" w:eastAsia="仿宋" w:cstheme="minorBidi"/>
          <w:b/>
          <w:kern w:val="2"/>
          <w:sz w:val="32"/>
          <w:szCs w:val="28"/>
          <w:lang w:val="en-US" w:eastAsia="zh-CN" w:bidi="ar-SA"/>
        </w:rPr>
      </w:pPr>
      <w:bookmarkStart w:id="0" w:name="_Toc31251"/>
      <w:bookmarkStart w:id="1" w:name="_Toc10058"/>
      <w:bookmarkStart w:id="2" w:name="_Toc19136"/>
      <w:bookmarkStart w:id="3" w:name="_Toc25226"/>
      <w:r>
        <w:rPr>
          <w:rFonts w:hint="eastAsia" w:ascii="仿宋" w:hAnsi="仿宋" w:eastAsia="仿宋" w:cstheme="minorBidi"/>
          <w:kern w:val="2"/>
          <w:sz w:val="28"/>
          <w:szCs w:val="28"/>
          <w:lang w:val="en-US" w:eastAsia="zh-CN" w:bidi="ar-SA"/>
        </w:rPr>
        <w:t>附件10</w:t>
      </w:r>
      <w:r>
        <w:rPr>
          <w:rFonts w:hint="eastAsia" w:ascii="方正小标宋简体" w:hAnsi="方正小标宋简体" w:eastAsia="方正小标宋简体" w:cs="方正小标宋简体"/>
          <w:sz w:val="32"/>
          <w:szCs w:val="32"/>
          <w:lang w:val="en-US" w:eastAsia="zh-CN"/>
        </w:rPr>
        <w:t xml:space="preserve">           </w:t>
      </w:r>
      <w:r>
        <w:rPr>
          <w:rFonts w:hint="eastAsia" w:ascii="仿宋" w:hAnsi="仿宋" w:eastAsia="仿宋" w:cstheme="minorBidi"/>
          <w:b/>
          <w:kern w:val="2"/>
          <w:sz w:val="32"/>
          <w:szCs w:val="28"/>
          <w:lang w:val="en-US" w:eastAsia="zh-CN" w:bidi="ar-SA"/>
        </w:rPr>
        <w:t>医疗服务项目收费标准</w:t>
      </w:r>
      <w:bookmarkEnd w:id="0"/>
      <w:bookmarkEnd w:id="1"/>
      <w:bookmarkEnd w:id="2"/>
      <w:bookmarkEnd w:id="3"/>
    </w:p>
    <w:p>
      <w:pPr>
        <w:rPr>
          <w:rFonts w:ascii="仿宋_GB2312" w:hAnsi="仿宋_GB2312" w:eastAsia="仿宋_GB2312" w:cs="仿宋_GB2312"/>
        </w:rPr>
      </w:pPr>
    </w:p>
    <w:p>
      <w:pPr>
        <w:tabs>
          <w:tab w:val="left" w:pos="5743"/>
        </w:tabs>
        <w:spacing w:line="360" w:lineRule="auto"/>
        <w:ind w:firstLine="492" w:firstLineChars="176"/>
        <w:rPr>
          <w:sz w:val="28"/>
          <w:szCs w:val="28"/>
        </w:rPr>
      </w:pPr>
      <w:r>
        <w:rPr>
          <w:rFonts w:hint="eastAsia"/>
          <w:sz w:val="28"/>
          <w:szCs w:val="28"/>
        </w:rPr>
        <w:t>表1、PET/CT费用标准组成及依据</w:t>
      </w:r>
      <w:r>
        <w:rPr>
          <w:rFonts w:hint="eastAsia"/>
          <w:sz w:val="28"/>
          <w:szCs w:val="28"/>
        </w:rPr>
        <w:tab/>
      </w:r>
    </w:p>
    <w:tbl>
      <w:tblPr>
        <w:tblStyle w:val="4"/>
        <w:tblW w:w="7992" w:type="dxa"/>
        <w:tblInd w:w="0" w:type="dxa"/>
        <w:tblLayout w:type="autofit"/>
        <w:tblCellMar>
          <w:top w:w="0" w:type="dxa"/>
          <w:left w:w="108" w:type="dxa"/>
          <w:bottom w:w="0" w:type="dxa"/>
          <w:right w:w="108" w:type="dxa"/>
        </w:tblCellMar>
      </w:tblPr>
      <w:tblGrid>
        <w:gridCol w:w="1784"/>
        <w:gridCol w:w="1555"/>
        <w:gridCol w:w="929"/>
        <w:gridCol w:w="8"/>
        <w:gridCol w:w="2680"/>
        <w:gridCol w:w="1036"/>
      </w:tblGrid>
      <w:tr>
        <w:tblPrEx>
          <w:tblCellMar>
            <w:top w:w="0" w:type="dxa"/>
            <w:left w:w="108" w:type="dxa"/>
            <w:bottom w:w="0" w:type="dxa"/>
            <w:right w:w="108" w:type="dxa"/>
          </w:tblCellMar>
        </w:tblPrEx>
        <w:trPr>
          <w:trHeight w:val="366" w:hRule="atLeast"/>
        </w:trPr>
        <w:tc>
          <w:tcPr>
            <w:tcW w:w="1784" w:type="dxa"/>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rPr>
                <w:sz w:val="24"/>
              </w:rPr>
            </w:pPr>
            <w:r>
              <w:rPr>
                <w:rFonts w:hint="eastAsia"/>
                <w:sz w:val="24"/>
              </w:rPr>
              <w:t xml:space="preserve">         项目</w:t>
            </w:r>
            <w:r>
              <w:rPr>
                <w:rFonts w:hint="eastAsia"/>
                <w:sz w:val="24"/>
              </w:rPr>
              <w:br w:type="textWrapping"/>
            </w:r>
            <w:r>
              <w:rPr>
                <w:rFonts w:hint="eastAsia"/>
                <w:sz w:val="24"/>
              </w:rPr>
              <w:t>类别</w:t>
            </w:r>
          </w:p>
        </w:tc>
        <w:tc>
          <w:tcPr>
            <w:tcW w:w="2492" w:type="dxa"/>
            <w:gridSpan w:val="3"/>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PET/CT局部</w:t>
            </w:r>
          </w:p>
        </w:tc>
        <w:tc>
          <w:tcPr>
            <w:tcW w:w="3716"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PET/CT全身</w:t>
            </w:r>
          </w:p>
        </w:tc>
      </w:tr>
      <w:tr>
        <w:tblPrEx>
          <w:tblCellMar>
            <w:top w:w="0" w:type="dxa"/>
            <w:left w:w="108" w:type="dxa"/>
            <w:bottom w:w="0" w:type="dxa"/>
            <w:right w:w="108" w:type="dxa"/>
          </w:tblCellMar>
        </w:tblPrEx>
        <w:trPr>
          <w:trHeight w:val="366" w:hRule="atLeast"/>
        </w:trPr>
        <w:tc>
          <w:tcPr>
            <w:tcW w:w="1784" w:type="dxa"/>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widowControl/>
              <w:rPr>
                <w:sz w:val="24"/>
              </w:rPr>
            </w:pP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PET</w:t>
            </w: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230400010</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3000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230400010</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6000</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同位素药物</w:t>
            </w: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nil"/>
            </w:tcBorders>
            <w:noWrap/>
            <w:vAlign w:val="center"/>
          </w:tcPr>
          <w:p>
            <w:pPr>
              <w:widowControl/>
              <w:jc w:val="center"/>
              <w:rPr>
                <w:sz w:val="24"/>
              </w:rPr>
            </w:pPr>
            <w:r>
              <w:rPr>
                <w:rFonts w:hint="eastAsia"/>
                <w:sz w:val="24"/>
              </w:rPr>
              <w:t>总价</w:t>
            </w:r>
          </w:p>
        </w:tc>
        <w:tc>
          <w:tcPr>
            <w:tcW w:w="1555"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6800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9800</w:t>
            </w:r>
          </w:p>
        </w:tc>
      </w:tr>
      <w:tr>
        <w:tblPrEx>
          <w:tblCellMar>
            <w:top w:w="0" w:type="dxa"/>
            <w:left w:w="108" w:type="dxa"/>
            <w:bottom w:w="0" w:type="dxa"/>
            <w:right w:w="108" w:type="dxa"/>
          </w:tblCellMar>
        </w:tblPrEx>
        <w:trPr>
          <w:trHeight w:val="409" w:hRule="atLeast"/>
        </w:trPr>
        <w:tc>
          <w:tcPr>
            <w:tcW w:w="7992" w:type="dxa"/>
            <w:gridSpan w:val="6"/>
            <w:tcBorders>
              <w:top w:val="single" w:color="auto" w:sz="4" w:space="0"/>
              <w:left w:val="single" w:color="auto" w:sz="4" w:space="0"/>
              <w:bottom w:val="single" w:color="auto" w:sz="4" w:space="0"/>
              <w:right w:val="single" w:color="auto" w:sz="4" w:space="0"/>
            </w:tcBorders>
            <w:noWrap/>
            <w:vAlign w:val="center"/>
          </w:tcPr>
          <w:p>
            <w:pPr>
              <w:widowControl/>
              <w:rPr>
                <w:sz w:val="24"/>
              </w:rPr>
            </w:pPr>
            <w:r>
              <w:rPr>
                <w:rFonts w:hint="eastAsia"/>
                <w:sz w:val="24"/>
              </w:rPr>
              <w:t>项目编码出处为：成都市医疗服务项目与价格汇报（2016版）</w:t>
            </w:r>
          </w:p>
        </w:tc>
      </w:tr>
    </w:tbl>
    <w:p>
      <w:pPr>
        <w:pStyle w:val="2"/>
        <w:tabs>
          <w:tab w:val="left" w:pos="0"/>
        </w:tabs>
        <w:rPr>
          <w:rFonts w:hint="eastAsia"/>
          <w:lang w:eastAsia="zh-CN"/>
        </w:rPr>
      </w:pPr>
      <w:r>
        <w:rPr>
          <w:rFonts w:hint="eastAsia"/>
          <w:lang w:eastAsia="zh-CN"/>
        </w:rPr>
        <w:t>备注：价格如遇国家政策调整,以新发布的政策为准。</w:t>
      </w:r>
    </w:p>
    <w:p>
      <w:pPr>
        <w:spacing w:line="360" w:lineRule="auto"/>
        <w:ind w:firstLine="492" w:firstLineChars="176"/>
        <w:rPr>
          <w:sz w:val="28"/>
          <w:szCs w:val="28"/>
        </w:rPr>
      </w:pPr>
      <w:r>
        <w:rPr>
          <w:rFonts w:hint="eastAsia"/>
          <w:sz w:val="28"/>
          <w:szCs w:val="28"/>
        </w:rPr>
        <w:t>表2、PET/MRI费用标准组成及依据</w:t>
      </w:r>
    </w:p>
    <w:p/>
    <w:tbl>
      <w:tblPr>
        <w:tblStyle w:val="4"/>
        <w:tblW w:w="7949" w:type="dxa"/>
        <w:tblInd w:w="0" w:type="dxa"/>
        <w:tblLayout w:type="autofit"/>
        <w:tblCellMar>
          <w:top w:w="0" w:type="dxa"/>
          <w:left w:w="108" w:type="dxa"/>
          <w:bottom w:w="0" w:type="dxa"/>
          <w:right w:w="108" w:type="dxa"/>
        </w:tblCellMar>
      </w:tblPr>
      <w:tblGrid>
        <w:gridCol w:w="1623"/>
        <w:gridCol w:w="1829"/>
        <w:gridCol w:w="883"/>
        <w:gridCol w:w="2445"/>
        <w:gridCol w:w="1169"/>
      </w:tblGrid>
      <w:tr>
        <w:tblPrEx>
          <w:tblCellMar>
            <w:top w:w="0" w:type="dxa"/>
            <w:left w:w="108" w:type="dxa"/>
            <w:bottom w:w="0" w:type="dxa"/>
            <w:right w:w="108" w:type="dxa"/>
          </w:tblCellMar>
        </w:tblPrEx>
        <w:trPr>
          <w:trHeight w:val="370" w:hRule="atLeast"/>
        </w:trPr>
        <w:tc>
          <w:tcPr>
            <w:tcW w:w="1623" w:type="dxa"/>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rPr>
                <w:sz w:val="24"/>
              </w:rPr>
            </w:pPr>
            <w:r>
              <w:rPr>
                <w:rFonts w:hint="eastAsia"/>
                <w:sz w:val="24"/>
              </w:rPr>
              <w:t xml:space="preserve">       项目</w:t>
            </w:r>
            <w:r>
              <w:rPr>
                <w:rFonts w:hint="eastAsia"/>
                <w:sz w:val="24"/>
              </w:rPr>
              <w:br w:type="textWrapping"/>
            </w:r>
            <w:r>
              <w:rPr>
                <w:rFonts w:hint="eastAsia"/>
                <w:sz w:val="24"/>
              </w:rPr>
              <w:t>类别</w:t>
            </w:r>
          </w:p>
        </w:tc>
        <w:tc>
          <w:tcPr>
            <w:tcW w:w="2712"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PET/MR局部</w:t>
            </w:r>
          </w:p>
        </w:tc>
        <w:tc>
          <w:tcPr>
            <w:tcW w:w="3614"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PET/MR全身</w:t>
            </w:r>
          </w:p>
        </w:tc>
      </w:tr>
      <w:tr>
        <w:tblPrEx>
          <w:tblCellMar>
            <w:top w:w="0" w:type="dxa"/>
            <w:left w:w="108" w:type="dxa"/>
            <w:bottom w:w="0" w:type="dxa"/>
            <w:right w:w="108" w:type="dxa"/>
          </w:tblCellMar>
        </w:tblPrEx>
        <w:trPr>
          <w:trHeight w:val="370" w:hRule="atLeast"/>
        </w:trPr>
        <w:tc>
          <w:tcPr>
            <w:tcW w:w="1623" w:type="dxa"/>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widowControl/>
              <w:rPr>
                <w:sz w:val="24"/>
              </w:rPr>
            </w:pPr>
          </w:p>
        </w:tc>
        <w:tc>
          <w:tcPr>
            <w:tcW w:w="18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PET</w:t>
            </w:r>
          </w:p>
        </w:tc>
        <w:tc>
          <w:tcPr>
            <w:tcW w:w="1829" w:type="dxa"/>
            <w:tcBorders>
              <w:top w:val="nil"/>
              <w:left w:val="nil"/>
              <w:bottom w:val="single" w:color="auto" w:sz="4" w:space="0"/>
              <w:right w:val="single" w:color="auto" w:sz="4" w:space="0"/>
            </w:tcBorders>
            <w:noWrap/>
            <w:vAlign w:val="center"/>
          </w:tcPr>
          <w:p>
            <w:pPr>
              <w:widowControl/>
              <w:jc w:val="center"/>
              <w:rPr>
                <w:rFonts w:hint="eastAsia" w:eastAsiaTheme="minorEastAsia"/>
                <w:sz w:val="24"/>
                <w:lang w:eastAsia="zh-CN"/>
              </w:rPr>
            </w:pPr>
            <w:r>
              <w:rPr>
                <w:rFonts w:hint="eastAsia"/>
                <w:sz w:val="24"/>
              </w:rPr>
              <w:t>230400011-</w:t>
            </w:r>
            <w:r>
              <w:rPr>
                <w:rFonts w:hint="eastAsia"/>
                <w:sz w:val="24"/>
                <w:lang w:val="en-US" w:eastAsia="zh-CN"/>
              </w:rPr>
              <w:t>1</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5245</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230400011-2</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10438</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同位素药物</w:t>
            </w:r>
          </w:p>
        </w:tc>
        <w:tc>
          <w:tcPr>
            <w:tcW w:w="18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nil"/>
            </w:tcBorders>
            <w:noWrap/>
            <w:vAlign w:val="center"/>
          </w:tcPr>
          <w:p>
            <w:pPr>
              <w:widowControl/>
              <w:jc w:val="center"/>
              <w:rPr>
                <w:sz w:val="24"/>
              </w:rPr>
            </w:pPr>
            <w:r>
              <w:rPr>
                <w:rFonts w:hint="eastAsia"/>
                <w:sz w:val="24"/>
              </w:rPr>
              <w:t>总价</w:t>
            </w:r>
          </w:p>
        </w:tc>
        <w:tc>
          <w:tcPr>
            <w:tcW w:w="1829"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9045</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14238</w:t>
            </w:r>
          </w:p>
        </w:tc>
      </w:tr>
      <w:tr>
        <w:tblPrEx>
          <w:tblCellMar>
            <w:top w:w="0" w:type="dxa"/>
            <w:left w:w="108" w:type="dxa"/>
            <w:bottom w:w="0" w:type="dxa"/>
            <w:right w:w="108" w:type="dxa"/>
          </w:tblCellMar>
        </w:tblPrEx>
        <w:trPr>
          <w:trHeight w:val="414" w:hRule="atLeast"/>
        </w:trPr>
        <w:tc>
          <w:tcPr>
            <w:tcW w:w="7949" w:type="dxa"/>
            <w:gridSpan w:val="5"/>
            <w:tcBorders>
              <w:top w:val="single" w:color="auto" w:sz="4" w:space="0"/>
              <w:left w:val="single" w:color="auto" w:sz="4" w:space="0"/>
              <w:bottom w:val="single" w:color="auto" w:sz="4" w:space="0"/>
              <w:right w:val="single" w:color="auto" w:sz="4" w:space="0"/>
            </w:tcBorders>
            <w:noWrap/>
            <w:vAlign w:val="center"/>
          </w:tcPr>
          <w:p>
            <w:pPr>
              <w:widowControl/>
              <w:rPr>
                <w:sz w:val="24"/>
              </w:rPr>
            </w:pPr>
            <w:r>
              <w:rPr>
                <w:rFonts w:hint="eastAsia"/>
                <w:sz w:val="24"/>
              </w:rPr>
              <w:t>项目编码出处为：</w:t>
            </w:r>
          </w:p>
          <w:p>
            <w:pPr>
              <w:widowControl/>
              <w:rPr>
                <w:sz w:val="24"/>
              </w:rPr>
            </w:pPr>
            <w:r>
              <w:rPr>
                <w:rFonts w:hint="eastAsia"/>
                <w:sz w:val="24"/>
              </w:rPr>
              <w:t>《四川省2021年第一批新增医疗服务项目省管公立医院拟定试行价格表》</w:t>
            </w:r>
          </w:p>
        </w:tc>
      </w:tr>
    </w:tbl>
    <w:p>
      <w:pPr>
        <w:pStyle w:val="2"/>
        <w:tabs>
          <w:tab w:val="left" w:pos="0"/>
        </w:tabs>
        <w:rPr>
          <w:rFonts w:hint="eastAsia" w:eastAsiaTheme="minorEastAsia"/>
          <w:lang w:eastAsia="zh-CN"/>
        </w:rPr>
        <w:sectPr>
          <w:pgSz w:w="11906" w:h="16838"/>
          <w:pgMar w:top="1440" w:right="1800" w:bottom="1440" w:left="1800" w:header="851" w:footer="992" w:gutter="0"/>
          <w:cols w:space="720" w:num="1"/>
          <w:docGrid w:type="lines" w:linePitch="312" w:charSpace="0"/>
        </w:sectPr>
      </w:pPr>
      <w:r>
        <w:rPr>
          <w:rFonts w:hint="eastAsia"/>
          <w:lang w:eastAsia="zh-CN"/>
        </w:rPr>
        <w:t>备注：价格如遇国家政策调整,以新发布的政策为准。</w:t>
      </w:r>
    </w:p>
    <w:p>
      <w:pPr>
        <w:pStyle w:val="2"/>
        <w:rPr>
          <w:rFonts w:hint="eastAsia"/>
        </w:rPr>
      </w:pPr>
    </w:p>
    <w:p>
      <w:bookmarkStart w:id="4" w:name="_GoBack"/>
      <w:bookmarkEnd w:id="4"/>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5FA7034E"/>
    <w:rsid w:val="5FA7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Indent"/>
    <w:basedOn w:val="1"/>
    <w:qFormat/>
    <w:uiPriority w:val="0"/>
    <w:pPr>
      <w:ind w:firstLine="420"/>
    </w:pPr>
    <w:rPr>
      <w:rFonts w:asci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2023-03-20T06:32:00Z</dcterms:created>
  <dc:creator>杨沁菀</dc:creator>
  <cp:lastModifiedBy>杨沁菀</cp:lastModifiedBy>
  <dcterms:modified xsi:type="dcterms:W3CDTF">2023-03-20T06:33:37Z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F5E01C532F04413DA12B8CE312E16340</vt:lpwstr>
  </property>
</Properties>
</file>