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（一）采购项目需求</w:t>
      </w:r>
    </w:p>
    <w:tbl>
      <w:tblPr>
        <w:tblStyle w:val="6"/>
        <w:tblpPr w:leftFromText="180" w:rightFromText="180" w:vertAnchor="text" w:horzAnchor="page" w:tblpX="731" w:tblpY="894"/>
        <w:tblOverlap w:val="never"/>
        <w:tblW w:w="62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40"/>
        <w:gridCol w:w="1059"/>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1" w:type="pct"/>
            <w:noWrap w:val="0"/>
            <w:vAlign w:val="center"/>
          </w:tcPr>
          <w:p>
            <w:pPr>
              <w:spacing w:line="420" w:lineRule="exact"/>
              <w:jc w:val="center"/>
              <w:rPr>
                <w:rFonts w:hint="eastAsia" w:ascii="宋体" w:hAnsi="宋体" w:cs="Segoe UI"/>
                <w:spacing w:val="8"/>
                <w:kern w:val="0"/>
                <w:sz w:val="18"/>
                <w:szCs w:val="18"/>
              </w:rPr>
            </w:pPr>
            <w:r>
              <w:rPr>
                <w:rFonts w:hint="eastAsia" w:cs="宋体"/>
                <w:color w:val="000000"/>
                <w:kern w:val="0"/>
              </w:rPr>
              <w:t>序号</w:t>
            </w:r>
          </w:p>
        </w:tc>
        <w:tc>
          <w:tcPr>
            <w:tcW w:w="537" w:type="pct"/>
            <w:noWrap w:val="0"/>
            <w:vAlign w:val="center"/>
          </w:tcPr>
          <w:p>
            <w:pPr>
              <w:spacing w:line="420" w:lineRule="exact"/>
              <w:jc w:val="center"/>
              <w:rPr>
                <w:rFonts w:hint="eastAsia" w:cs="宋体"/>
                <w:color w:val="000000"/>
                <w:kern w:val="0"/>
              </w:rPr>
            </w:pPr>
            <w:r>
              <w:rPr>
                <w:rFonts w:hint="eastAsia" w:cs="宋体"/>
                <w:color w:val="000000"/>
                <w:kern w:val="0"/>
              </w:rPr>
              <w:t>产品名称</w:t>
            </w:r>
          </w:p>
        </w:tc>
        <w:tc>
          <w:tcPr>
            <w:tcW w:w="499" w:type="pct"/>
            <w:noWrap w:val="0"/>
            <w:vAlign w:val="center"/>
          </w:tcPr>
          <w:p>
            <w:pPr>
              <w:spacing w:line="420" w:lineRule="exact"/>
              <w:jc w:val="center"/>
              <w:rPr>
                <w:rFonts w:cs="宋体"/>
                <w:color w:val="000000"/>
                <w:kern w:val="0"/>
              </w:rPr>
            </w:pPr>
            <w:r>
              <w:rPr>
                <w:rFonts w:hint="eastAsia" w:cs="宋体"/>
                <w:color w:val="000000"/>
                <w:kern w:val="0"/>
              </w:rPr>
              <w:t>年度预估使用量（份）</w:t>
            </w:r>
          </w:p>
        </w:tc>
        <w:tc>
          <w:tcPr>
            <w:tcW w:w="3571" w:type="pct"/>
            <w:noWrap w:val="0"/>
            <w:vAlign w:val="center"/>
          </w:tcPr>
          <w:p>
            <w:pPr>
              <w:spacing w:line="420" w:lineRule="exact"/>
              <w:jc w:val="center"/>
              <w:rPr>
                <w:rFonts w:hint="eastAsia" w:cs="宋体"/>
                <w:color w:val="000000"/>
                <w:kern w:val="0"/>
              </w:rPr>
            </w:pPr>
            <w:r>
              <w:rPr>
                <w:rFonts w:hint="eastAsia" w:cs="宋体"/>
                <w:color w:val="000000"/>
                <w:kern w:val="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1" w:type="pct"/>
            <w:noWrap w:val="0"/>
            <w:vAlign w:val="center"/>
          </w:tcPr>
          <w:p>
            <w:pPr>
              <w:spacing w:line="420" w:lineRule="exact"/>
              <w:jc w:val="center"/>
              <w:rPr>
                <w:rFonts w:hint="eastAsia" w:cs="宋体"/>
                <w:color w:val="000000"/>
                <w:kern w:val="0"/>
                <w:sz w:val="20"/>
                <w:szCs w:val="20"/>
              </w:rPr>
            </w:pPr>
            <w:r>
              <w:rPr>
                <w:rFonts w:hint="eastAsia" w:cs="宋体"/>
                <w:color w:val="000000"/>
                <w:kern w:val="0"/>
                <w:sz w:val="20"/>
                <w:szCs w:val="20"/>
              </w:rPr>
              <w:t>1</w:t>
            </w:r>
          </w:p>
        </w:tc>
        <w:tc>
          <w:tcPr>
            <w:tcW w:w="537" w:type="pct"/>
            <w:noWrap w:val="0"/>
            <w:vAlign w:val="center"/>
          </w:tcPr>
          <w:p>
            <w:pPr>
              <w:spacing w:line="420" w:lineRule="exact"/>
              <w:jc w:val="center"/>
              <w:rPr>
                <w:rFonts w:hint="eastAsia" w:cs="宋体"/>
                <w:color w:val="000000"/>
                <w:kern w:val="0"/>
                <w:sz w:val="20"/>
                <w:szCs w:val="20"/>
              </w:rPr>
            </w:pPr>
            <w:r>
              <w:rPr>
                <w:rFonts w:hint="eastAsia" w:cs="宋体"/>
                <w:color w:val="000000"/>
                <w:kern w:val="0"/>
                <w:sz w:val="20"/>
                <w:szCs w:val="20"/>
              </w:rPr>
              <w:t>肺炎支原体培养基</w:t>
            </w:r>
          </w:p>
          <w:p>
            <w:pPr>
              <w:spacing w:line="420" w:lineRule="exact"/>
              <w:jc w:val="center"/>
              <w:rPr>
                <w:rFonts w:hint="eastAsia" w:cs="宋体"/>
                <w:color w:val="000000"/>
                <w:kern w:val="0"/>
                <w:sz w:val="20"/>
                <w:szCs w:val="20"/>
              </w:rPr>
            </w:pPr>
          </w:p>
        </w:tc>
        <w:tc>
          <w:tcPr>
            <w:tcW w:w="499" w:type="pct"/>
            <w:noWrap w:val="0"/>
            <w:vAlign w:val="center"/>
          </w:tcPr>
          <w:p>
            <w:pPr>
              <w:spacing w:line="420" w:lineRule="exact"/>
              <w:jc w:val="center"/>
              <w:rPr>
                <w:rFonts w:cs="宋体"/>
                <w:color w:val="000000"/>
                <w:kern w:val="0"/>
                <w:sz w:val="20"/>
                <w:szCs w:val="20"/>
              </w:rPr>
            </w:pPr>
            <w:r>
              <w:rPr>
                <w:rFonts w:hint="eastAsia" w:cs="宋体"/>
                <w:color w:val="000000"/>
                <w:kern w:val="0"/>
                <w:sz w:val="20"/>
                <w:szCs w:val="20"/>
              </w:rPr>
              <w:t>3500</w:t>
            </w:r>
          </w:p>
        </w:tc>
        <w:tc>
          <w:tcPr>
            <w:tcW w:w="3571" w:type="pct"/>
            <w:noWrap w:val="0"/>
            <w:vAlign w:val="center"/>
          </w:tcPr>
          <w:p>
            <w:pPr>
              <w:spacing w:line="420" w:lineRule="exact"/>
              <w:jc w:val="left"/>
              <w:rPr>
                <w:rFonts w:hint="eastAsia" w:cs="宋体"/>
                <w:color w:val="000000"/>
                <w:kern w:val="0"/>
                <w:sz w:val="20"/>
                <w:szCs w:val="20"/>
              </w:rPr>
            </w:pPr>
            <w:r>
              <w:rPr>
                <w:rFonts w:hint="eastAsia" w:cs="宋体"/>
                <w:color w:val="000000"/>
                <w:kern w:val="0"/>
                <w:sz w:val="20"/>
                <w:szCs w:val="20"/>
              </w:rPr>
              <w:t>1.用于肺炎支原体快速培养鉴定及药敏实验。</w:t>
            </w:r>
          </w:p>
          <w:p>
            <w:pPr>
              <w:spacing w:line="420" w:lineRule="exact"/>
              <w:jc w:val="left"/>
              <w:rPr>
                <w:rFonts w:hint="eastAsia" w:cs="宋体"/>
                <w:color w:val="000000"/>
                <w:kern w:val="0"/>
                <w:sz w:val="20"/>
                <w:szCs w:val="20"/>
              </w:rPr>
            </w:pPr>
            <w:r>
              <w:rPr>
                <w:rFonts w:hint="eastAsia" w:cs="宋体"/>
                <w:color w:val="000000"/>
                <w:kern w:val="0"/>
                <w:sz w:val="20"/>
                <w:szCs w:val="20"/>
              </w:rPr>
              <w:t>2.标本类型应包括痰液、咽部分泌物等常见呼吸道标本。</w:t>
            </w:r>
          </w:p>
          <w:p>
            <w:pPr>
              <w:spacing w:line="420" w:lineRule="exact"/>
              <w:jc w:val="left"/>
              <w:rPr>
                <w:rFonts w:hint="eastAsia" w:cs="宋体"/>
                <w:color w:val="000000"/>
                <w:kern w:val="0"/>
                <w:sz w:val="20"/>
                <w:szCs w:val="20"/>
              </w:rPr>
            </w:pPr>
            <w:r>
              <w:rPr>
                <w:rFonts w:hint="eastAsia" w:cs="宋体"/>
                <w:color w:val="000000"/>
                <w:kern w:val="0"/>
                <w:sz w:val="20"/>
                <w:szCs w:val="20"/>
              </w:rPr>
              <w:t>3.需提供抑制除肺炎支原体外呼吸道常见细菌生长方案。</w:t>
            </w:r>
          </w:p>
          <w:p>
            <w:pPr>
              <w:spacing w:line="420" w:lineRule="exact"/>
              <w:jc w:val="left"/>
              <w:rPr>
                <w:rFonts w:hint="eastAsia" w:cs="宋体"/>
                <w:color w:val="000000"/>
                <w:kern w:val="0"/>
                <w:sz w:val="20"/>
                <w:szCs w:val="20"/>
              </w:rPr>
            </w:pPr>
            <w:r>
              <w:rPr>
                <w:rFonts w:hint="eastAsia" w:cs="宋体"/>
                <w:color w:val="000000"/>
                <w:kern w:val="0"/>
                <w:sz w:val="20"/>
                <w:szCs w:val="20"/>
              </w:rPr>
              <w:t>4.灵敏度≤10000CFU/ml，普通孵育箱培养。</w:t>
            </w:r>
          </w:p>
          <w:p>
            <w:pPr>
              <w:spacing w:line="420" w:lineRule="exact"/>
              <w:jc w:val="left"/>
              <w:rPr>
                <w:rFonts w:hint="eastAsia" w:cs="宋体"/>
                <w:color w:val="000000"/>
                <w:kern w:val="0"/>
                <w:sz w:val="20"/>
                <w:szCs w:val="20"/>
              </w:rPr>
            </w:pPr>
            <w:r>
              <w:rPr>
                <w:rFonts w:hint="eastAsia" w:cs="宋体"/>
                <w:color w:val="000000"/>
                <w:kern w:val="0"/>
                <w:sz w:val="20"/>
                <w:szCs w:val="20"/>
              </w:rPr>
              <w:t>5.鉴定药敏结果可人工肉眼判读，阳性结果判读时间≤48H。</w:t>
            </w:r>
          </w:p>
          <w:p>
            <w:pPr>
              <w:spacing w:line="420" w:lineRule="exact"/>
              <w:jc w:val="left"/>
              <w:rPr>
                <w:rFonts w:hint="eastAsia" w:cs="宋体"/>
                <w:color w:val="000000"/>
                <w:kern w:val="0"/>
                <w:sz w:val="20"/>
                <w:szCs w:val="20"/>
              </w:rPr>
            </w:pPr>
            <w:r>
              <w:rPr>
                <w:rFonts w:hint="eastAsia" w:cs="宋体"/>
                <w:color w:val="000000"/>
                <w:kern w:val="0"/>
                <w:sz w:val="20"/>
                <w:szCs w:val="20"/>
              </w:rPr>
              <w:t>6.药敏种类≥10种，至少应包含大环内酯类、喹诺酮类及四环素类抗生素，抗菌药物浓度范围满足CLSI-M43要求。</w:t>
            </w:r>
          </w:p>
          <w:p>
            <w:pPr>
              <w:spacing w:line="420" w:lineRule="exact"/>
              <w:jc w:val="left"/>
              <w:rPr>
                <w:rFonts w:hint="eastAsia" w:cs="宋体"/>
                <w:color w:val="000000"/>
                <w:kern w:val="0"/>
                <w:sz w:val="20"/>
                <w:szCs w:val="20"/>
              </w:rPr>
            </w:pPr>
            <w:r>
              <w:rPr>
                <w:rFonts w:hint="eastAsia" w:cs="宋体"/>
                <w:color w:val="000000"/>
                <w:kern w:val="0"/>
                <w:sz w:val="20"/>
                <w:szCs w:val="20"/>
              </w:rPr>
              <w:t>7.产品应为独立包装，效期≥12个月。</w:t>
            </w:r>
          </w:p>
          <w:p>
            <w:pPr>
              <w:spacing w:line="420" w:lineRule="exact"/>
              <w:jc w:val="left"/>
              <w:rPr>
                <w:rFonts w:hint="eastAsia" w:cs="宋体"/>
                <w:color w:val="000000"/>
                <w:kern w:val="0"/>
                <w:sz w:val="20"/>
                <w:szCs w:val="20"/>
              </w:rPr>
            </w:pPr>
            <w:r>
              <w:rPr>
                <w:rFonts w:hint="eastAsia" w:cs="宋体"/>
                <w:color w:val="000000"/>
                <w:kern w:val="0"/>
                <w:sz w:val="20"/>
                <w:szCs w:val="20"/>
              </w:rPr>
              <w:t>8.提供肺炎支原体标准菌株（ATCC15531）用于室内质控。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91" w:type="pct"/>
            <w:noWrap w:val="0"/>
            <w:vAlign w:val="center"/>
          </w:tcPr>
          <w:p>
            <w:pPr>
              <w:spacing w:line="420" w:lineRule="exact"/>
              <w:jc w:val="center"/>
              <w:rPr>
                <w:rFonts w:hint="eastAsia" w:cs="宋体"/>
                <w:color w:val="000000"/>
                <w:kern w:val="0"/>
                <w:sz w:val="20"/>
                <w:szCs w:val="20"/>
              </w:rPr>
            </w:pPr>
            <w:r>
              <w:rPr>
                <w:rFonts w:hint="eastAsia" w:cs="宋体"/>
                <w:color w:val="000000"/>
                <w:kern w:val="0"/>
                <w:sz w:val="20"/>
                <w:szCs w:val="20"/>
              </w:rPr>
              <w:t>2</w:t>
            </w:r>
          </w:p>
        </w:tc>
        <w:tc>
          <w:tcPr>
            <w:tcW w:w="537" w:type="pct"/>
            <w:noWrap w:val="0"/>
            <w:vAlign w:val="center"/>
          </w:tcPr>
          <w:p>
            <w:pPr>
              <w:spacing w:line="420" w:lineRule="exact"/>
              <w:jc w:val="center"/>
              <w:rPr>
                <w:rFonts w:hint="eastAsia" w:cs="宋体"/>
                <w:color w:val="000000"/>
                <w:kern w:val="0"/>
                <w:sz w:val="20"/>
                <w:szCs w:val="20"/>
              </w:rPr>
            </w:pPr>
            <w:r>
              <w:rPr>
                <w:rFonts w:hint="eastAsia" w:cs="宋体"/>
                <w:color w:val="000000"/>
                <w:kern w:val="0"/>
                <w:sz w:val="20"/>
                <w:szCs w:val="20"/>
              </w:rPr>
              <w:t>B群链球菌显色培养基</w:t>
            </w:r>
          </w:p>
          <w:p>
            <w:pPr>
              <w:spacing w:line="420" w:lineRule="exact"/>
              <w:jc w:val="center"/>
              <w:rPr>
                <w:rFonts w:cs="宋体"/>
                <w:color w:val="000000"/>
                <w:kern w:val="0"/>
                <w:sz w:val="20"/>
                <w:szCs w:val="20"/>
              </w:rPr>
            </w:pPr>
          </w:p>
        </w:tc>
        <w:tc>
          <w:tcPr>
            <w:tcW w:w="499" w:type="pct"/>
            <w:noWrap w:val="0"/>
            <w:vAlign w:val="center"/>
          </w:tcPr>
          <w:p>
            <w:pPr>
              <w:widowControl/>
              <w:jc w:val="center"/>
              <w:textAlignment w:val="center"/>
              <w:rPr>
                <w:rFonts w:ascii="宋体" w:hAnsi="宋体" w:cs="Segoe UI"/>
                <w:spacing w:val="8"/>
                <w:kern w:val="0"/>
                <w:sz w:val="16"/>
                <w:szCs w:val="16"/>
              </w:rPr>
            </w:pPr>
            <w:r>
              <w:rPr>
                <w:rFonts w:hint="eastAsia" w:cs="宋体"/>
                <w:color w:val="000000"/>
                <w:kern w:val="0"/>
                <w:sz w:val="20"/>
                <w:szCs w:val="20"/>
              </w:rPr>
              <w:t>800</w:t>
            </w:r>
          </w:p>
        </w:tc>
        <w:tc>
          <w:tcPr>
            <w:tcW w:w="3571" w:type="pct"/>
            <w:noWrap w:val="0"/>
            <w:vAlign w:val="center"/>
          </w:tcPr>
          <w:p>
            <w:pPr>
              <w:spacing w:line="420" w:lineRule="exact"/>
              <w:jc w:val="left"/>
              <w:rPr>
                <w:rFonts w:hint="eastAsia" w:cs="宋体"/>
                <w:color w:val="000000"/>
                <w:kern w:val="0"/>
                <w:sz w:val="20"/>
                <w:szCs w:val="20"/>
              </w:rPr>
            </w:pPr>
            <w:r>
              <w:rPr>
                <w:rFonts w:hint="eastAsia" w:ascii="宋体" w:hAnsi="宋体" w:cs="宋体"/>
                <w:color w:val="000000"/>
                <w:kern w:val="0"/>
                <w:sz w:val="18"/>
                <w:szCs w:val="18"/>
              </w:rPr>
              <w:t>▲</w:t>
            </w:r>
            <w:r>
              <w:rPr>
                <w:rFonts w:hint="eastAsia" w:cs="宋体"/>
                <w:color w:val="000000"/>
                <w:kern w:val="0"/>
                <w:sz w:val="20"/>
                <w:szCs w:val="20"/>
              </w:rPr>
              <w:t>1.应用产色素法对临床B群链球菌增菌培养和鉴定。</w:t>
            </w:r>
          </w:p>
          <w:p>
            <w:pPr>
              <w:spacing w:line="420" w:lineRule="exact"/>
              <w:jc w:val="left"/>
              <w:rPr>
                <w:rFonts w:hint="eastAsia" w:cs="宋体"/>
                <w:color w:val="000000"/>
                <w:kern w:val="0"/>
                <w:sz w:val="20"/>
                <w:szCs w:val="20"/>
              </w:rPr>
            </w:pPr>
            <w:r>
              <w:rPr>
                <w:rFonts w:hint="eastAsia" w:cs="宋体"/>
                <w:color w:val="000000"/>
                <w:kern w:val="0"/>
                <w:sz w:val="20"/>
                <w:szCs w:val="20"/>
              </w:rPr>
              <w:t xml:space="preserve">2.标本类型应包括阴道拭子、直肠拭子等适用于孕产妇及新生儿的标本。   </w:t>
            </w:r>
          </w:p>
          <w:p>
            <w:pPr>
              <w:spacing w:line="420" w:lineRule="exact"/>
              <w:jc w:val="left"/>
              <w:rPr>
                <w:rFonts w:hint="eastAsia" w:cs="宋体"/>
                <w:color w:val="000000"/>
                <w:kern w:val="0"/>
                <w:sz w:val="20"/>
                <w:szCs w:val="20"/>
              </w:rPr>
            </w:pPr>
            <w:r>
              <w:rPr>
                <w:rFonts w:hint="eastAsia" w:cs="宋体"/>
                <w:color w:val="000000"/>
                <w:kern w:val="0"/>
                <w:sz w:val="20"/>
                <w:szCs w:val="20"/>
              </w:rPr>
              <w:t>3.革兰阴性杆菌、念珠菌、葡萄球菌、肠球菌等阴道常见菌对结果判读无干扰。</w:t>
            </w:r>
          </w:p>
          <w:p>
            <w:pPr>
              <w:spacing w:line="420" w:lineRule="exact"/>
              <w:jc w:val="left"/>
              <w:rPr>
                <w:rFonts w:hint="eastAsia" w:cs="宋体"/>
                <w:color w:val="000000"/>
                <w:kern w:val="0"/>
                <w:sz w:val="20"/>
                <w:szCs w:val="20"/>
              </w:rPr>
            </w:pPr>
            <w:r>
              <w:rPr>
                <w:rFonts w:hint="eastAsia" w:cs="宋体"/>
                <w:color w:val="000000"/>
                <w:kern w:val="0"/>
                <w:sz w:val="20"/>
                <w:szCs w:val="20"/>
              </w:rPr>
              <w:t>4.灵敏度≤10000CFU/ml，阳性结果报告时间&lt;=24H，阳性培养物可分纯培养。</w:t>
            </w:r>
          </w:p>
          <w:p>
            <w:pPr>
              <w:spacing w:line="420" w:lineRule="exact"/>
              <w:jc w:val="left"/>
              <w:rPr>
                <w:rFonts w:hint="eastAsia" w:cs="宋体"/>
                <w:color w:val="000000"/>
                <w:kern w:val="0"/>
                <w:sz w:val="20"/>
                <w:szCs w:val="20"/>
              </w:rPr>
            </w:pPr>
            <w:r>
              <w:rPr>
                <w:rFonts w:hint="eastAsia" w:cs="宋体"/>
                <w:color w:val="000000"/>
                <w:kern w:val="0"/>
                <w:sz w:val="20"/>
                <w:szCs w:val="20"/>
              </w:rPr>
              <w:t>5.产品应为独立包装，效期≥6个月</w:t>
            </w:r>
          </w:p>
          <w:p>
            <w:pPr>
              <w:spacing w:line="420" w:lineRule="exact"/>
              <w:jc w:val="left"/>
              <w:rPr>
                <w:rFonts w:hint="eastAsia" w:ascii="宋体" w:hAnsi="宋体" w:cs="Segoe UI"/>
                <w:spacing w:val="8"/>
                <w:kern w:val="0"/>
                <w:sz w:val="16"/>
                <w:szCs w:val="16"/>
              </w:rPr>
            </w:pPr>
            <w:r>
              <w:rPr>
                <w:rFonts w:hint="eastAsia" w:cs="宋体"/>
                <w:color w:val="000000"/>
                <w:kern w:val="0"/>
                <w:sz w:val="20"/>
                <w:szCs w:val="20"/>
              </w:rPr>
              <w:t>6.提供B群链球菌标准菌株（ATCC 12386）用于室内质控。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91" w:type="pct"/>
            <w:noWrap w:val="0"/>
            <w:vAlign w:val="center"/>
          </w:tcPr>
          <w:p>
            <w:pPr>
              <w:spacing w:line="420" w:lineRule="exact"/>
              <w:jc w:val="center"/>
              <w:rPr>
                <w:rFonts w:hint="eastAsia" w:cs="宋体"/>
                <w:color w:val="000000"/>
                <w:kern w:val="0"/>
                <w:sz w:val="20"/>
                <w:szCs w:val="20"/>
              </w:rPr>
            </w:pPr>
            <w:r>
              <w:rPr>
                <w:rFonts w:hint="eastAsia" w:cs="宋体"/>
                <w:color w:val="000000"/>
                <w:kern w:val="0"/>
                <w:sz w:val="20"/>
                <w:szCs w:val="20"/>
              </w:rPr>
              <w:t>3</w:t>
            </w:r>
          </w:p>
        </w:tc>
        <w:tc>
          <w:tcPr>
            <w:tcW w:w="537" w:type="pct"/>
            <w:noWrap w:val="0"/>
            <w:vAlign w:val="center"/>
          </w:tcPr>
          <w:p>
            <w:pPr>
              <w:spacing w:line="420" w:lineRule="exact"/>
              <w:jc w:val="center"/>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肠道病毒71型IgM抗体</w:t>
            </w:r>
          </w:p>
        </w:tc>
        <w:tc>
          <w:tcPr>
            <w:tcW w:w="499" w:type="pct"/>
            <w:noWrap w:val="0"/>
            <w:vAlign w:val="center"/>
          </w:tcPr>
          <w:p>
            <w:pPr>
              <w:spacing w:line="420" w:lineRule="exact"/>
              <w:jc w:val="center"/>
              <w:rPr>
                <w:rFonts w:hint="default"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1050</w:t>
            </w:r>
          </w:p>
        </w:tc>
        <w:tc>
          <w:tcPr>
            <w:tcW w:w="3571" w:type="pct"/>
            <w:noWrap w:val="0"/>
            <w:vAlign w:val="center"/>
          </w:tcPr>
          <w:p>
            <w:pPr>
              <w:spacing w:line="420" w:lineRule="exact"/>
              <w:jc w:val="left"/>
              <w:rPr>
                <w:rFonts w:hint="eastAsia" w:ascii="Times New Roman" w:hAnsi="Times New Roman" w:eastAsia="宋体" w:cs="宋体"/>
                <w:color w:val="000000"/>
                <w:kern w:val="0"/>
                <w:sz w:val="20"/>
                <w:szCs w:val="20"/>
              </w:rPr>
            </w:pPr>
            <w:r>
              <w:rPr>
                <w:rFonts w:hint="eastAsia" w:ascii="宋体" w:hAnsi="宋体" w:cs="宋体"/>
                <w:color w:val="000000"/>
                <w:kern w:val="0"/>
                <w:sz w:val="18"/>
                <w:szCs w:val="18"/>
              </w:rPr>
              <w:t>▲</w:t>
            </w:r>
            <w:r>
              <w:rPr>
                <w:rFonts w:hint="eastAsia" w:ascii="Times New Roman" w:hAnsi="Times New Roman" w:eastAsia="宋体" w:cs="宋体"/>
                <w:color w:val="000000"/>
                <w:kern w:val="0"/>
                <w:sz w:val="20"/>
                <w:szCs w:val="20"/>
              </w:rPr>
              <w:t>1.免疫层析法快速定性检测肠道病毒71型IgM抗体。</w:t>
            </w:r>
          </w:p>
          <w:p>
            <w:pPr>
              <w:spacing w:line="420" w:lineRule="exact"/>
              <w:jc w:val="left"/>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2.标本类型包括血清、血浆和全血。</w:t>
            </w:r>
          </w:p>
          <w:p>
            <w:pPr>
              <w:spacing w:line="420" w:lineRule="exact"/>
              <w:jc w:val="left"/>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3.标本用量全血≤25ul，血清或血浆≤15ul。</w:t>
            </w:r>
          </w:p>
          <w:p>
            <w:pPr>
              <w:spacing w:line="420" w:lineRule="exact"/>
              <w:jc w:val="left"/>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4.可人工肉眼判读。</w:t>
            </w:r>
          </w:p>
          <w:p>
            <w:pPr>
              <w:spacing w:line="420" w:lineRule="exact"/>
              <w:jc w:val="left"/>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5.总检测时长≤20分钟。</w:t>
            </w:r>
          </w:p>
          <w:p>
            <w:pPr>
              <w:spacing w:line="420" w:lineRule="exact"/>
              <w:jc w:val="left"/>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6.单人份独立包装，效期≥12个月，室温保存。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91" w:type="pct"/>
            <w:noWrap w:val="0"/>
            <w:vAlign w:val="center"/>
          </w:tcPr>
          <w:p>
            <w:pPr>
              <w:spacing w:line="420" w:lineRule="exact"/>
              <w:jc w:val="center"/>
              <w:rPr>
                <w:rFonts w:hint="eastAsia" w:eastAsia="宋体" w:cs="宋体"/>
                <w:color w:val="000000"/>
                <w:kern w:val="0"/>
                <w:sz w:val="20"/>
                <w:szCs w:val="20"/>
                <w:lang w:val="en-US" w:eastAsia="zh-CN"/>
              </w:rPr>
            </w:pPr>
            <w:r>
              <w:rPr>
                <w:rFonts w:hint="eastAsia" w:cs="宋体"/>
                <w:color w:val="000000"/>
                <w:kern w:val="0"/>
                <w:sz w:val="20"/>
                <w:szCs w:val="20"/>
                <w:lang w:val="en-US" w:eastAsia="zh-CN"/>
              </w:rPr>
              <w:t>4</w:t>
            </w:r>
          </w:p>
        </w:tc>
        <w:tc>
          <w:tcPr>
            <w:tcW w:w="537" w:type="pct"/>
            <w:noWrap w:val="0"/>
            <w:vAlign w:val="center"/>
          </w:tcPr>
          <w:p>
            <w:pPr>
              <w:spacing w:line="420" w:lineRule="exact"/>
              <w:jc w:val="left"/>
              <w:rPr>
                <w:rFonts w:hint="eastAsia"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柯萨奇病毒A16型IgM抗体</w:t>
            </w:r>
          </w:p>
        </w:tc>
        <w:tc>
          <w:tcPr>
            <w:tcW w:w="499" w:type="pct"/>
            <w:noWrap w:val="0"/>
            <w:vAlign w:val="center"/>
          </w:tcPr>
          <w:p>
            <w:pPr>
              <w:spacing w:line="420" w:lineRule="exact"/>
              <w:jc w:val="center"/>
              <w:rPr>
                <w:rFonts w:hint="default" w:eastAsia="宋体" w:cs="宋体"/>
                <w:color w:val="000000"/>
                <w:kern w:val="0"/>
                <w:sz w:val="20"/>
                <w:szCs w:val="20"/>
                <w:lang w:val="en-US" w:eastAsia="zh-CN"/>
              </w:rPr>
            </w:pPr>
            <w:r>
              <w:rPr>
                <w:rFonts w:hint="eastAsia" w:cs="宋体"/>
                <w:color w:val="000000"/>
                <w:kern w:val="0"/>
                <w:sz w:val="20"/>
                <w:szCs w:val="20"/>
                <w:lang w:val="en-US" w:eastAsia="zh-CN"/>
              </w:rPr>
              <w:t>1050</w:t>
            </w:r>
          </w:p>
        </w:tc>
        <w:tc>
          <w:tcPr>
            <w:tcW w:w="3571" w:type="pct"/>
            <w:noWrap w:val="0"/>
            <w:vAlign w:val="center"/>
          </w:tcPr>
          <w:p>
            <w:pPr>
              <w:spacing w:line="420" w:lineRule="exact"/>
              <w:jc w:val="left"/>
              <w:rPr>
                <w:rFonts w:hint="eastAsia" w:cs="宋体"/>
                <w:color w:val="000000"/>
                <w:kern w:val="0"/>
                <w:sz w:val="20"/>
                <w:szCs w:val="20"/>
              </w:rPr>
            </w:pPr>
            <w:r>
              <w:rPr>
                <w:rFonts w:hint="eastAsia" w:ascii="宋体" w:hAnsi="宋体" w:cs="宋体"/>
                <w:color w:val="000000"/>
                <w:kern w:val="0"/>
                <w:sz w:val="18"/>
                <w:szCs w:val="18"/>
              </w:rPr>
              <w:t>▲</w:t>
            </w:r>
            <w:r>
              <w:rPr>
                <w:rFonts w:hint="eastAsia" w:cs="宋体"/>
                <w:color w:val="000000"/>
                <w:kern w:val="0"/>
                <w:sz w:val="20"/>
                <w:szCs w:val="20"/>
              </w:rPr>
              <w:t>1.免疫层析法快速定性检测柯萨奇病毒A16型IgM抗体。</w:t>
            </w:r>
          </w:p>
          <w:p>
            <w:pPr>
              <w:spacing w:line="420" w:lineRule="exact"/>
              <w:jc w:val="left"/>
              <w:rPr>
                <w:rFonts w:hint="eastAsia" w:cs="宋体"/>
                <w:color w:val="000000"/>
                <w:kern w:val="0"/>
                <w:sz w:val="20"/>
                <w:szCs w:val="20"/>
              </w:rPr>
            </w:pPr>
            <w:r>
              <w:rPr>
                <w:rFonts w:hint="eastAsia" w:cs="宋体"/>
                <w:color w:val="000000"/>
                <w:kern w:val="0"/>
                <w:sz w:val="20"/>
                <w:szCs w:val="20"/>
              </w:rPr>
              <w:t>2.标本类型包括血清、血浆和全血。</w:t>
            </w:r>
          </w:p>
          <w:p>
            <w:pPr>
              <w:spacing w:line="420" w:lineRule="exact"/>
              <w:jc w:val="left"/>
              <w:rPr>
                <w:rFonts w:hint="eastAsia" w:cs="宋体"/>
                <w:color w:val="000000"/>
                <w:kern w:val="0"/>
                <w:sz w:val="20"/>
                <w:szCs w:val="20"/>
              </w:rPr>
            </w:pPr>
            <w:r>
              <w:rPr>
                <w:rFonts w:hint="eastAsia" w:cs="宋体"/>
                <w:color w:val="000000"/>
                <w:kern w:val="0"/>
                <w:sz w:val="20"/>
                <w:szCs w:val="20"/>
              </w:rPr>
              <w:t>3.标本用量全血≤25ul，血清或血浆≤15ul。</w:t>
            </w:r>
          </w:p>
          <w:p>
            <w:pPr>
              <w:spacing w:line="420" w:lineRule="exact"/>
              <w:jc w:val="left"/>
              <w:rPr>
                <w:rFonts w:hint="eastAsia" w:cs="宋体"/>
                <w:color w:val="000000"/>
                <w:kern w:val="0"/>
                <w:sz w:val="20"/>
                <w:szCs w:val="20"/>
              </w:rPr>
            </w:pPr>
            <w:r>
              <w:rPr>
                <w:rFonts w:hint="eastAsia" w:cs="宋体"/>
                <w:color w:val="000000"/>
                <w:kern w:val="0"/>
                <w:sz w:val="20"/>
                <w:szCs w:val="20"/>
              </w:rPr>
              <w:t>4.可人工肉眼判读。</w:t>
            </w:r>
          </w:p>
          <w:p>
            <w:pPr>
              <w:spacing w:line="420" w:lineRule="exact"/>
              <w:jc w:val="left"/>
              <w:rPr>
                <w:rFonts w:hint="eastAsia" w:cs="宋体"/>
                <w:color w:val="000000"/>
                <w:kern w:val="0"/>
                <w:sz w:val="20"/>
                <w:szCs w:val="20"/>
              </w:rPr>
            </w:pPr>
            <w:r>
              <w:rPr>
                <w:rFonts w:hint="eastAsia" w:cs="宋体"/>
                <w:color w:val="000000"/>
                <w:kern w:val="0"/>
                <w:sz w:val="20"/>
                <w:szCs w:val="20"/>
              </w:rPr>
              <w:t>5.总检测时长≤20分钟。</w:t>
            </w:r>
          </w:p>
          <w:p>
            <w:pPr>
              <w:spacing w:line="420" w:lineRule="exact"/>
              <w:jc w:val="left"/>
              <w:rPr>
                <w:rFonts w:hint="eastAsia" w:ascii="宋体" w:hAnsi="宋体" w:cs="Segoe UI"/>
                <w:spacing w:val="8"/>
                <w:kern w:val="0"/>
                <w:sz w:val="16"/>
                <w:szCs w:val="16"/>
              </w:rPr>
            </w:pPr>
            <w:r>
              <w:rPr>
                <w:rFonts w:hint="eastAsia" w:cs="宋体"/>
                <w:color w:val="000000"/>
                <w:kern w:val="0"/>
                <w:sz w:val="20"/>
                <w:szCs w:val="20"/>
              </w:rPr>
              <w:t>6.单人份独立包装，效期≥12个月，室温保存。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91" w:type="pct"/>
            <w:noWrap w:val="0"/>
            <w:vAlign w:val="center"/>
          </w:tcPr>
          <w:p>
            <w:pPr>
              <w:spacing w:line="420" w:lineRule="exact"/>
              <w:jc w:val="center"/>
              <w:rPr>
                <w:rFonts w:hint="eastAsia" w:eastAsia="宋体" w:cs="宋体"/>
                <w:color w:val="000000"/>
                <w:kern w:val="0"/>
                <w:sz w:val="20"/>
                <w:szCs w:val="20"/>
                <w:lang w:eastAsia="zh-CN"/>
              </w:rPr>
            </w:pPr>
            <w:r>
              <w:rPr>
                <w:rFonts w:hint="eastAsia" w:cs="宋体"/>
                <w:color w:val="000000"/>
                <w:kern w:val="0"/>
                <w:sz w:val="20"/>
                <w:szCs w:val="20"/>
                <w:lang w:val="en-US" w:eastAsia="zh-CN"/>
              </w:rPr>
              <w:t>5</w:t>
            </w:r>
          </w:p>
        </w:tc>
        <w:tc>
          <w:tcPr>
            <w:tcW w:w="537" w:type="pct"/>
            <w:noWrap w:val="0"/>
            <w:vAlign w:val="center"/>
          </w:tcPr>
          <w:p>
            <w:pPr>
              <w:spacing w:line="420" w:lineRule="exact"/>
              <w:jc w:val="center"/>
              <w:rPr>
                <w:rFonts w:hint="eastAsia" w:cs="宋体"/>
                <w:color w:val="000000"/>
                <w:kern w:val="0"/>
                <w:sz w:val="20"/>
                <w:szCs w:val="20"/>
              </w:rPr>
            </w:pPr>
            <w:r>
              <w:rPr>
                <w:rFonts w:hint="eastAsia" w:cs="宋体"/>
                <w:color w:val="000000"/>
                <w:kern w:val="0"/>
                <w:sz w:val="20"/>
                <w:szCs w:val="20"/>
              </w:rPr>
              <w:t>肺炎衣原体抗体</w:t>
            </w:r>
          </w:p>
          <w:p>
            <w:pPr>
              <w:spacing w:line="420" w:lineRule="exact"/>
              <w:jc w:val="center"/>
              <w:rPr>
                <w:rFonts w:hint="eastAsia" w:cs="宋体"/>
                <w:color w:val="000000"/>
                <w:kern w:val="0"/>
                <w:sz w:val="20"/>
                <w:szCs w:val="20"/>
              </w:rPr>
            </w:pPr>
          </w:p>
        </w:tc>
        <w:tc>
          <w:tcPr>
            <w:tcW w:w="499" w:type="pct"/>
            <w:noWrap w:val="0"/>
            <w:vAlign w:val="center"/>
          </w:tcPr>
          <w:p>
            <w:pPr>
              <w:spacing w:line="420" w:lineRule="exact"/>
              <w:jc w:val="center"/>
              <w:rPr>
                <w:rFonts w:cs="宋体"/>
                <w:color w:val="000000"/>
                <w:kern w:val="0"/>
                <w:sz w:val="20"/>
                <w:szCs w:val="20"/>
              </w:rPr>
            </w:pPr>
            <w:r>
              <w:rPr>
                <w:rFonts w:hint="eastAsia" w:cs="宋体"/>
                <w:color w:val="000000"/>
                <w:kern w:val="0"/>
                <w:sz w:val="20"/>
                <w:szCs w:val="20"/>
              </w:rPr>
              <w:t>3500</w:t>
            </w:r>
          </w:p>
        </w:tc>
        <w:tc>
          <w:tcPr>
            <w:tcW w:w="3571" w:type="pct"/>
            <w:noWrap w:val="0"/>
            <w:vAlign w:val="center"/>
          </w:tcPr>
          <w:p>
            <w:pPr>
              <w:spacing w:line="420" w:lineRule="exact"/>
              <w:jc w:val="left"/>
              <w:rPr>
                <w:rFonts w:hint="eastAsia" w:cs="宋体"/>
                <w:color w:val="000000"/>
                <w:kern w:val="0"/>
                <w:sz w:val="20"/>
                <w:szCs w:val="20"/>
              </w:rPr>
            </w:pPr>
            <w:r>
              <w:rPr>
                <w:rFonts w:hint="eastAsia" w:ascii="宋体" w:hAnsi="宋体" w:cs="宋体"/>
                <w:color w:val="000000"/>
                <w:kern w:val="0"/>
                <w:sz w:val="18"/>
                <w:szCs w:val="18"/>
              </w:rPr>
              <w:t>▲</w:t>
            </w:r>
            <w:r>
              <w:rPr>
                <w:rFonts w:hint="eastAsia" w:cs="宋体"/>
                <w:color w:val="000000"/>
                <w:kern w:val="0"/>
                <w:sz w:val="20"/>
                <w:szCs w:val="20"/>
              </w:rPr>
              <w:t>1.免疫层析法定性检测肺炎衣原体IgM抗体。</w:t>
            </w:r>
          </w:p>
          <w:p>
            <w:pPr>
              <w:spacing w:line="420" w:lineRule="exact"/>
              <w:jc w:val="left"/>
              <w:rPr>
                <w:rFonts w:hint="eastAsia" w:cs="宋体"/>
                <w:color w:val="000000"/>
                <w:kern w:val="0"/>
                <w:sz w:val="20"/>
                <w:szCs w:val="20"/>
              </w:rPr>
            </w:pPr>
            <w:r>
              <w:rPr>
                <w:rFonts w:hint="eastAsia" w:cs="宋体"/>
                <w:color w:val="000000"/>
                <w:kern w:val="0"/>
                <w:sz w:val="20"/>
                <w:szCs w:val="20"/>
              </w:rPr>
              <w:t>2.标本类型包括全血、血清或血浆。</w:t>
            </w:r>
          </w:p>
          <w:p>
            <w:pPr>
              <w:spacing w:line="420" w:lineRule="exact"/>
              <w:jc w:val="left"/>
              <w:rPr>
                <w:rFonts w:hint="eastAsia" w:cs="宋体"/>
                <w:color w:val="000000"/>
                <w:kern w:val="0"/>
                <w:sz w:val="20"/>
                <w:szCs w:val="20"/>
              </w:rPr>
            </w:pPr>
            <w:r>
              <w:rPr>
                <w:rFonts w:hint="eastAsia" w:cs="宋体"/>
                <w:color w:val="000000"/>
                <w:kern w:val="0"/>
                <w:sz w:val="20"/>
                <w:szCs w:val="20"/>
              </w:rPr>
              <w:t>3.标本用量全血≤25ul，血清或血浆≤15ul。</w:t>
            </w:r>
          </w:p>
          <w:p>
            <w:pPr>
              <w:spacing w:line="420" w:lineRule="exact"/>
              <w:jc w:val="left"/>
              <w:rPr>
                <w:rFonts w:hint="eastAsia" w:cs="宋体"/>
                <w:color w:val="000000"/>
                <w:kern w:val="0"/>
                <w:sz w:val="20"/>
                <w:szCs w:val="20"/>
              </w:rPr>
            </w:pPr>
            <w:r>
              <w:rPr>
                <w:rFonts w:hint="eastAsia" w:cs="宋体"/>
                <w:color w:val="000000"/>
                <w:kern w:val="0"/>
                <w:sz w:val="20"/>
                <w:szCs w:val="20"/>
              </w:rPr>
              <w:t>4.可人工肉眼判读。</w:t>
            </w:r>
          </w:p>
          <w:p>
            <w:pPr>
              <w:spacing w:line="420" w:lineRule="exact"/>
              <w:jc w:val="left"/>
              <w:rPr>
                <w:rFonts w:hint="eastAsia" w:cs="宋体"/>
                <w:color w:val="000000"/>
                <w:kern w:val="0"/>
                <w:sz w:val="20"/>
                <w:szCs w:val="20"/>
              </w:rPr>
            </w:pPr>
            <w:r>
              <w:rPr>
                <w:rFonts w:hint="eastAsia" w:cs="宋体"/>
                <w:color w:val="000000"/>
                <w:kern w:val="0"/>
                <w:sz w:val="20"/>
                <w:szCs w:val="20"/>
              </w:rPr>
              <w:t>5.总检测时长≤20分钟。</w:t>
            </w:r>
          </w:p>
          <w:p>
            <w:pPr>
              <w:spacing w:line="420" w:lineRule="exact"/>
              <w:jc w:val="left"/>
              <w:rPr>
                <w:rFonts w:hint="eastAsia" w:cs="宋体"/>
                <w:color w:val="000000"/>
                <w:kern w:val="0"/>
                <w:sz w:val="20"/>
                <w:szCs w:val="20"/>
              </w:rPr>
            </w:pPr>
            <w:r>
              <w:rPr>
                <w:rFonts w:hint="eastAsia" w:cs="宋体"/>
                <w:color w:val="000000"/>
                <w:kern w:val="0"/>
                <w:sz w:val="20"/>
                <w:szCs w:val="20"/>
              </w:rPr>
              <w:t>6.单人份独立包装，效期≥12个月，室温保存。</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1.年度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22.2万</w:t>
      </w:r>
      <w:r>
        <w:rPr>
          <w:rFonts w:hint="eastAsia" w:ascii="仿宋" w:hAnsi="仿宋" w:eastAsia="仿宋" w:cs="宋体"/>
          <w:color w:val="000000"/>
          <w:kern w:val="0"/>
          <w:sz w:val="28"/>
          <w:szCs w:val="28"/>
        </w:rPr>
        <w:t>元</w:t>
      </w:r>
      <w:r>
        <w:rPr>
          <w:rFonts w:hint="eastAsia" w:ascii="仿宋" w:hAnsi="仿宋" w:eastAsia="仿宋" w:cs="宋体"/>
          <w:color w:val="000000"/>
          <w:kern w:val="0"/>
          <w:sz w:val="28"/>
          <w:szCs w:val="28"/>
          <w:lang w:val="en-US" w:eastAsia="zh-CN"/>
        </w:rPr>
        <w:t>/年</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宋体"/>
          <w:color w:val="000000"/>
          <w:kern w:val="0"/>
          <w:sz w:val="28"/>
          <w:szCs w:val="28"/>
          <w:lang w:val="en-US" w:eastAsia="zh-CN"/>
        </w:rPr>
        <w:t>2.供货期限：3年。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投标产品属于国家医疗保障局发布的《医保医用耗材分类与代码》目录且具有医疗器械注册证的全部医用耗材（不含一类医疗器械）的，必须为四川省药械集中采购及医药价格监管平台挂网产品，并提供产品挂网商品代码。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2.若产品有多种规格型号且价格不同，投标人应将所有型号分项报价。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Segoe UI"/>
          <w:b/>
          <w:bCs/>
          <w:color w:val="333333"/>
          <w:kern w:val="0"/>
          <w:sz w:val="28"/>
          <w:szCs w:val="28"/>
        </w:rPr>
      </w:pPr>
      <w:r>
        <w:rPr>
          <w:rFonts w:hint="eastAsia" w:ascii="仿宋" w:hAnsi="仿宋" w:eastAsia="仿宋" w:cs="宋体"/>
          <w:color w:val="000000"/>
          <w:kern w:val="0"/>
          <w:sz w:val="28"/>
          <w:szCs w:val="28"/>
          <w:lang w:val="en-US" w:eastAsia="zh-CN"/>
        </w:rPr>
        <w:t>1.产品年度预计使用量供投标人参考，只作为报价测算依据，不做其它用途使用。</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：评审办法（评分明细表）</w:t>
      </w:r>
    </w:p>
    <w:tbl>
      <w:tblPr>
        <w:tblStyle w:val="6"/>
        <w:tblpPr w:leftFromText="180" w:rightFromText="180" w:vertAnchor="text" w:horzAnchor="page" w:tblpX="731" w:tblpY="894"/>
        <w:tblOverlap w:val="never"/>
        <w:tblW w:w="62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75"/>
        <w:gridCol w:w="1086"/>
        <w:gridCol w:w="731"/>
        <w:gridCol w:w="582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91"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71"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74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73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1" w:type="pct"/>
            <w:vMerge w:val="continue"/>
            <w:noWrap w:val="0"/>
            <w:vAlign w:val="center"/>
          </w:tcPr>
          <w:p>
            <w:pPr>
              <w:spacing w:line="420" w:lineRule="exact"/>
              <w:jc w:val="center"/>
              <w:rPr>
                <w:rFonts w:hint="eastAsia" w:cs="宋体"/>
                <w:color w:val="000000"/>
                <w:kern w:val="0"/>
              </w:rPr>
            </w:pPr>
          </w:p>
        </w:tc>
        <w:tc>
          <w:tcPr>
            <w:tcW w:w="271"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45"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30</w:t>
            </w:r>
            <w:r>
              <w:rPr>
                <w:rFonts w:hint="eastAsia" w:ascii="宋体" w:hAnsi="宋体" w:cs="宋体"/>
                <w:color w:val="000000"/>
                <w:kern w:val="0"/>
                <w:sz w:val="18"/>
                <w:szCs w:val="18"/>
                <w:lang w:val="en-US" w:eastAsia="zh-CN"/>
              </w:rPr>
              <w:t>分</w:t>
            </w:r>
          </w:p>
        </w:tc>
        <w:tc>
          <w:tcPr>
            <w:tcW w:w="2746" w:type="pct"/>
            <w:noWrap w:val="0"/>
            <w:vAlign w:val="center"/>
          </w:tcPr>
          <w:p>
            <w:pPr>
              <w:widowControl/>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1.价格分：</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响应材料满足磋商文件要求且以最后报价总价最低的为评审基准价，其价格分为30分。其他供应商的价格分统一按照以下公式计算：价格分=(评审基准价／最后报价总价)×30</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2.最后报价总价</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最后报价总价=各规格型号的均价*年度预估用量</w:t>
            </w:r>
          </w:p>
        </w:tc>
        <w:tc>
          <w:tcPr>
            <w:tcW w:w="73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1" w:type="pct"/>
            <w:vMerge w:val="continue"/>
            <w:noWrap w:val="0"/>
            <w:vAlign w:val="center"/>
          </w:tcPr>
          <w:p>
            <w:pPr>
              <w:spacing w:line="420" w:lineRule="exact"/>
              <w:jc w:val="center"/>
              <w:rPr>
                <w:rFonts w:hint="eastAsia" w:cs="宋体"/>
                <w:color w:val="000000"/>
                <w:kern w:val="0"/>
              </w:rPr>
            </w:pPr>
          </w:p>
        </w:tc>
        <w:tc>
          <w:tcPr>
            <w:tcW w:w="271"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51.2</w:t>
            </w:r>
            <w:r>
              <w:rPr>
                <w:rFonts w:hint="eastAsia" w:ascii="宋体" w:hAnsi="宋体" w:cs="宋体"/>
                <w:color w:val="000000"/>
                <w:kern w:val="0"/>
                <w:sz w:val="18"/>
                <w:szCs w:val="18"/>
              </w:rPr>
              <w:t>%</w:t>
            </w:r>
          </w:p>
        </w:tc>
        <w:tc>
          <w:tcPr>
            <w:tcW w:w="345"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51.2分</w:t>
            </w:r>
          </w:p>
        </w:tc>
        <w:tc>
          <w:tcPr>
            <w:tcW w:w="2746" w:type="pct"/>
            <w:noWrap w:val="0"/>
            <w:vAlign w:val="center"/>
          </w:tcPr>
          <w:p>
            <w:pPr>
              <w:widowControl/>
              <w:wordWrap w:val="0"/>
              <w:spacing w:line="270" w:lineRule="atLeast"/>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完全符合招标文件技术参数要求得</w:t>
            </w:r>
            <w:r>
              <w:rPr>
                <w:rFonts w:hint="eastAsia" w:ascii="宋体" w:hAnsi="宋体" w:cs="宋体"/>
                <w:color w:val="000000"/>
                <w:kern w:val="0"/>
                <w:sz w:val="18"/>
                <w:szCs w:val="18"/>
                <w:highlight w:val="none"/>
                <w:lang w:val="en-US" w:eastAsia="zh-CN"/>
              </w:rPr>
              <w:t>51.2</w:t>
            </w:r>
            <w:r>
              <w:rPr>
                <w:rFonts w:hint="eastAsia" w:ascii="宋体" w:hAnsi="宋体" w:cs="宋体"/>
                <w:color w:val="000000"/>
                <w:kern w:val="0"/>
                <w:sz w:val="18"/>
                <w:szCs w:val="18"/>
                <w:highlight w:val="none"/>
              </w:rPr>
              <w:t>分。▲号条款负偏离一项扣</w:t>
            </w:r>
            <w:r>
              <w:rPr>
                <w:rFonts w:hint="eastAsia" w:ascii="宋体" w:hAnsi="宋体" w:cs="宋体"/>
                <w:color w:val="000000"/>
                <w:kern w:val="0"/>
                <w:sz w:val="18"/>
                <w:szCs w:val="18"/>
                <w:highlight w:val="none"/>
                <w:lang w:val="en-US" w:eastAsia="zh-CN"/>
              </w:rPr>
              <w:t>3</w:t>
            </w:r>
            <w:r>
              <w:rPr>
                <w:rFonts w:hint="eastAsia" w:ascii="宋体" w:hAnsi="宋体" w:cs="宋体"/>
                <w:color w:val="000000"/>
                <w:kern w:val="0"/>
                <w:sz w:val="18"/>
                <w:szCs w:val="18"/>
                <w:highlight w:val="none"/>
              </w:rPr>
              <w:t>分，非▲号条款负偏离一项扣</w:t>
            </w:r>
            <w:r>
              <w:rPr>
                <w:rFonts w:hint="eastAsia" w:ascii="宋体" w:hAnsi="宋体" w:cs="宋体"/>
                <w:color w:val="000000"/>
                <w:kern w:val="0"/>
                <w:sz w:val="18"/>
                <w:szCs w:val="18"/>
                <w:highlight w:val="none"/>
                <w:lang w:val="en-US" w:eastAsia="zh-CN"/>
              </w:rPr>
              <w:t>1.4</w:t>
            </w:r>
            <w:r>
              <w:rPr>
                <w:rFonts w:hint="eastAsia" w:ascii="宋体" w:hAnsi="宋体" w:cs="宋体"/>
                <w:color w:val="000000"/>
                <w:kern w:val="0"/>
                <w:sz w:val="18"/>
                <w:szCs w:val="18"/>
                <w:highlight w:val="none"/>
              </w:rPr>
              <w:t>分，扣完为止。（▲号条款共4项，非▲号条款共</w:t>
            </w:r>
            <w:r>
              <w:rPr>
                <w:rFonts w:hint="eastAsia" w:ascii="宋体" w:hAnsi="宋体" w:cs="宋体"/>
                <w:color w:val="000000"/>
                <w:kern w:val="0"/>
                <w:sz w:val="18"/>
                <w:szCs w:val="18"/>
                <w:highlight w:val="none"/>
                <w:lang w:val="en-US" w:eastAsia="zh-CN"/>
              </w:rPr>
              <w:t>28</w:t>
            </w:r>
            <w:r>
              <w:rPr>
                <w:rFonts w:hint="eastAsia" w:ascii="宋体" w:hAnsi="宋体" w:cs="宋体"/>
                <w:color w:val="000000"/>
                <w:kern w:val="0"/>
                <w:sz w:val="18"/>
                <w:szCs w:val="18"/>
                <w:highlight w:val="none"/>
              </w:rPr>
              <w:t>项）。</w:t>
            </w:r>
          </w:p>
          <w:p>
            <w:pPr>
              <w:widowControl/>
              <w:wordWrap w:val="0"/>
              <w:spacing w:line="270" w:lineRule="atLeast"/>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注：</w:t>
            </w:r>
          </w:p>
          <w:p>
            <w:pPr>
              <w:widowControl/>
              <w:wordWrap w:val="0"/>
              <w:spacing w:line="270" w:lineRule="atLeast"/>
              <w:jc w:val="left"/>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（1）</w:t>
            </w:r>
            <w:r>
              <w:rPr>
                <w:rFonts w:hint="eastAsia" w:ascii="宋体" w:hAnsi="宋体" w:eastAsia="宋体" w:cs="宋体"/>
                <w:color w:val="000000"/>
                <w:kern w:val="0"/>
                <w:sz w:val="18"/>
                <w:szCs w:val="18"/>
                <w:highlight w:val="none"/>
                <w:lang w:val="en-US" w:eastAsia="zh-CN"/>
              </w:rPr>
              <w:t>技术</w:t>
            </w:r>
            <w:r>
              <w:rPr>
                <w:rFonts w:hint="eastAsia" w:ascii="宋体" w:hAnsi="宋体" w:eastAsia="宋体" w:cs="宋体"/>
                <w:color w:val="000000"/>
                <w:kern w:val="0"/>
                <w:sz w:val="18"/>
                <w:szCs w:val="18"/>
                <w:highlight w:val="none"/>
              </w:rPr>
              <w:t>条款需提供所投产品说明书</w:t>
            </w:r>
            <w:r>
              <w:rPr>
                <w:rFonts w:hint="eastAsia" w:ascii="宋体" w:hAnsi="宋体" w:eastAsia="宋体" w:cs="宋体"/>
                <w:color w:val="000000"/>
                <w:kern w:val="0"/>
                <w:sz w:val="18"/>
                <w:szCs w:val="18"/>
                <w:highlight w:val="none"/>
                <w:lang w:val="en-US" w:eastAsia="zh-CN"/>
              </w:rPr>
              <w:t>作为</w:t>
            </w:r>
            <w:r>
              <w:rPr>
                <w:rFonts w:hint="eastAsia" w:ascii="宋体" w:hAnsi="宋体" w:eastAsia="宋体" w:cs="宋体"/>
                <w:color w:val="000000"/>
                <w:kern w:val="0"/>
                <w:sz w:val="18"/>
                <w:szCs w:val="18"/>
                <w:highlight w:val="none"/>
              </w:rPr>
              <w:t>证明文件</w:t>
            </w:r>
            <w:r>
              <w:rPr>
                <w:rFonts w:hint="eastAsia" w:ascii="宋体" w:hAnsi="宋体" w:eastAsia="宋体" w:cs="宋体"/>
                <w:color w:val="000000"/>
                <w:kern w:val="0"/>
                <w:sz w:val="18"/>
                <w:szCs w:val="18"/>
                <w:highlight w:val="none"/>
                <w:lang w:eastAsia="zh-CN"/>
              </w:rPr>
              <w:t>。</w:t>
            </w:r>
          </w:p>
          <w:p>
            <w:pPr>
              <w:widowControl/>
              <w:wordWrap w:val="0"/>
              <w:spacing w:line="270" w:lineRule="atLeast"/>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（2）如技术指标在投标文件中未对应出现或在投标文件中存在自相矛</w:t>
            </w:r>
          </w:p>
          <w:p>
            <w:pPr>
              <w:widowControl/>
              <w:wordWrap w:val="0"/>
              <w:spacing w:line="270" w:lineRule="atLeas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盾之处或未提供的不得分。</w:t>
            </w:r>
          </w:p>
        </w:tc>
        <w:tc>
          <w:tcPr>
            <w:tcW w:w="73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1" w:type="pct"/>
            <w:vMerge w:val="continue"/>
            <w:noWrap w:val="0"/>
            <w:vAlign w:val="center"/>
          </w:tcPr>
          <w:p>
            <w:pPr>
              <w:spacing w:line="420" w:lineRule="exact"/>
              <w:jc w:val="center"/>
              <w:rPr>
                <w:rFonts w:hint="eastAsia" w:cs="宋体"/>
                <w:color w:val="000000"/>
                <w:kern w:val="0"/>
              </w:rPr>
            </w:pPr>
          </w:p>
        </w:tc>
        <w:tc>
          <w:tcPr>
            <w:tcW w:w="271"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p>
        </w:tc>
        <w:tc>
          <w:tcPr>
            <w:tcW w:w="345"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2746" w:type="pct"/>
            <w:noWrap w:val="0"/>
            <w:vAlign w:val="center"/>
          </w:tcPr>
          <w:p>
            <w:pPr>
              <w:adjustRightInd w:val="0"/>
              <w:spacing w:line="400" w:lineRule="exact"/>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提供响应产品2020年1月1日以来</w:t>
            </w:r>
            <w:r>
              <w:rPr>
                <w:rFonts w:hint="eastAsia" w:ascii="宋体" w:hAnsi="宋体" w:cs="宋体"/>
                <w:color w:val="000000"/>
                <w:kern w:val="0"/>
                <w:sz w:val="18"/>
                <w:szCs w:val="18"/>
                <w:highlight w:val="none"/>
                <w:lang w:val="en-US" w:eastAsia="zh-CN"/>
              </w:rPr>
              <w:t>省</w:t>
            </w:r>
            <w:r>
              <w:rPr>
                <w:rFonts w:hint="eastAsia" w:ascii="宋体" w:hAnsi="宋体" w:cs="宋体"/>
                <w:color w:val="000000"/>
                <w:kern w:val="0"/>
                <w:sz w:val="18"/>
                <w:szCs w:val="18"/>
                <w:highlight w:val="none"/>
              </w:rPr>
              <w:t>内三甲医疗机构业绩证明，每提供1个</w:t>
            </w:r>
            <w:r>
              <w:rPr>
                <w:rFonts w:hint="eastAsia" w:ascii="宋体" w:hAnsi="宋体" w:cs="宋体"/>
                <w:color w:val="000000"/>
                <w:kern w:val="0"/>
                <w:sz w:val="18"/>
                <w:szCs w:val="18"/>
                <w:highlight w:val="none"/>
                <w:lang w:val="en-US" w:eastAsia="zh-CN"/>
              </w:rPr>
              <w:t>产品的</w:t>
            </w:r>
            <w:r>
              <w:rPr>
                <w:rFonts w:hint="eastAsia" w:ascii="宋体" w:hAnsi="宋体" w:cs="宋体"/>
                <w:color w:val="000000"/>
                <w:kern w:val="0"/>
                <w:sz w:val="18"/>
                <w:szCs w:val="18"/>
                <w:highlight w:val="none"/>
              </w:rPr>
              <w:t>业绩得</w:t>
            </w:r>
            <w:r>
              <w:rPr>
                <w:rFonts w:hint="eastAsia" w:ascii="宋体" w:hAnsi="宋体" w:cs="宋体"/>
                <w:color w:val="000000"/>
                <w:kern w:val="0"/>
                <w:sz w:val="18"/>
                <w:szCs w:val="18"/>
                <w:highlight w:val="none"/>
                <w:lang w:val="en-US" w:eastAsia="zh-CN"/>
              </w:rPr>
              <w:t>0.5</w:t>
            </w:r>
            <w:r>
              <w:rPr>
                <w:rFonts w:hint="eastAsia" w:ascii="宋体" w:hAnsi="宋体" w:cs="宋体"/>
                <w:color w:val="000000"/>
                <w:kern w:val="0"/>
                <w:sz w:val="18"/>
                <w:szCs w:val="18"/>
                <w:highlight w:val="none"/>
              </w:rPr>
              <w:t>分，</w:t>
            </w:r>
            <w:r>
              <w:rPr>
                <w:rFonts w:hint="eastAsia" w:ascii="宋体" w:hAnsi="宋体" w:cs="宋体"/>
                <w:color w:val="000000"/>
                <w:kern w:val="0"/>
                <w:sz w:val="18"/>
                <w:szCs w:val="18"/>
                <w:highlight w:val="none"/>
                <w:lang w:val="en-US" w:eastAsia="zh-CN"/>
              </w:rPr>
              <w:t>每种产品的业绩最多得2分；总分</w:t>
            </w:r>
            <w:r>
              <w:rPr>
                <w:rFonts w:hint="eastAsia" w:ascii="宋体" w:hAnsi="宋体" w:cs="宋体"/>
                <w:color w:val="000000"/>
                <w:kern w:val="0"/>
                <w:sz w:val="18"/>
                <w:szCs w:val="18"/>
                <w:highlight w:val="none"/>
              </w:rPr>
              <w:t>最多得</w:t>
            </w:r>
            <w:r>
              <w:rPr>
                <w:rFonts w:hint="eastAsia" w:ascii="宋体" w:hAnsi="宋体" w:cs="宋体"/>
                <w:color w:val="000000"/>
                <w:kern w:val="0"/>
                <w:sz w:val="18"/>
                <w:szCs w:val="18"/>
                <w:highlight w:val="none"/>
                <w:lang w:val="en-US" w:eastAsia="zh-CN"/>
              </w:rPr>
              <w:t>10</w:t>
            </w:r>
            <w:r>
              <w:rPr>
                <w:rFonts w:hint="eastAsia" w:ascii="宋体" w:hAnsi="宋体" w:cs="宋体"/>
                <w:color w:val="000000"/>
                <w:kern w:val="0"/>
                <w:sz w:val="18"/>
                <w:szCs w:val="18"/>
                <w:highlight w:val="none"/>
              </w:rPr>
              <w:t>分。</w:t>
            </w:r>
          </w:p>
          <w:p>
            <w:pPr>
              <w:adjustRightInd w:val="0"/>
              <w:spacing w:line="40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注：需提供合同复印件或发票复印件（若发票复印件上无产品明细则需附销货清单）作为得分依据。非三甲医疗机构业绩证明请勿提供。</w:t>
            </w:r>
          </w:p>
        </w:tc>
        <w:tc>
          <w:tcPr>
            <w:tcW w:w="732" w:type="pct"/>
            <w:noWrap w:val="0"/>
            <w:vAlign w:val="center"/>
          </w:tcPr>
          <w:p>
            <w:pPr>
              <w:adjustRightInd w:val="0"/>
              <w:spacing w:before="156" w:beforeLines="50" w:after="156" w:afterLines="50"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91" w:type="pct"/>
            <w:vMerge w:val="continue"/>
            <w:noWrap w:val="0"/>
            <w:vAlign w:val="center"/>
          </w:tcPr>
          <w:p>
            <w:pPr>
              <w:spacing w:line="420" w:lineRule="exact"/>
              <w:jc w:val="center"/>
              <w:rPr>
                <w:rFonts w:hint="eastAsia" w:cs="宋体"/>
                <w:color w:val="000000"/>
                <w:kern w:val="0"/>
              </w:rPr>
            </w:pPr>
          </w:p>
        </w:tc>
        <w:tc>
          <w:tcPr>
            <w:tcW w:w="271" w:type="pct"/>
            <w:vMerge w:val="restart"/>
            <w:noWrap w:val="0"/>
            <w:vAlign w:val="center"/>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12" w:type="pct"/>
            <w:vMerge w:val="restar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w:t>
            </w:r>
            <w:r>
              <w:rPr>
                <w:rFonts w:hint="eastAsia" w:ascii="宋体" w:hAnsi="宋体" w:cs="宋体"/>
                <w:color w:val="000000"/>
                <w:kern w:val="0"/>
                <w:sz w:val="18"/>
                <w:szCs w:val="18"/>
                <w:lang w:val="en-US" w:eastAsia="zh-CN"/>
              </w:rPr>
              <w:t>8.8</w:t>
            </w:r>
            <w:r>
              <w:rPr>
                <w:rFonts w:hint="eastAsia" w:ascii="宋体" w:hAnsi="宋体" w:cs="宋体"/>
                <w:color w:val="000000"/>
                <w:kern w:val="0"/>
                <w:sz w:val="18"/>
                <w:szCs w:val="18"/>
              </w:rPr>
              <w:t>%</w:t>
            </w:r>
          </w:p>
        </w:tc>
        <w:tc>
          <w:tcPr>
            <w:tcW w:w="345"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p>
        </w:tc>
        <w:tc>
          <w:tcPr>
            <w:tcW w:w="2746" w:type="pct"/>
            <w:noWrap w:val="0"/>
            <w:vAlign w:val="top"/>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供应商提供的售后服务方案，包含：①售后服务承诺；②技术支持；③缺货应急方案；④服务响应等四个方面进行评审，四方面提供完整且描述详细，符合本项目实际情况、有利于项目实施的得8分；每缺少一项或提供的方案与本项目无关的扣2分；每有一项存在缺陷或漏洞的，且不利于项目实施的扣1分，分值扣完为止。</w:t>
            </w:r>
          </w:p>
        </w:tc>
        <w:tc>
          <w:tcPr>
            <w:tcW w:w="732"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91" w:type="pct"/>
            <w:vMerge w:val="continue"/>
            <w:noWrap w:val="0"/>
            <w:vAlign w:val="center"/>
          </w:tcPr>
          <w:p>
            <w:pPr>
              <w:spacing w:line="420" w:lineRule="exact"/>
              <w:jc w:val="center"/>
              <w:rPr>
                <w:rFonts w:hint="eastAsia" w:cs="宋体"/>
                <w:color w:val="000000"/>
                <w:kern w:val="0"/>
              </w:rPr>
            </w:pPr>
          </w:p>
        </w:tc>
        <w:tc>
          <w:tcPr>
            <w:tcW w:w="271" w:type="pct"/>
            <w:vMerge w:val="continue"/>
            <w:noWrap w:val="0"/>
            <w:vAlign w:val="center"/>
          </w:tcPr>
          <w:p>
            <w:pPr>
              <w:adjustRightInd w:val="0"/>
              <w:spacing w:line="400" w:lineRule="exact"/>
              <w:jc w:val="left"/>
              <w:rPr>
                <w:rFonts w:hint="eastAsia" w:ascii="宋体" w:hAnsi="宋体" w:cs="宋体"/>
                <w:color w:val="000000"/>
                <w:kern w:val="0"/>
                <w:sz w:val="18"/>
                <w:szCs w:val="18"/>
              </w:rPr>
            </w:pPr>
          </w:p>
        </w:tc>
        <w:tc>
          <w:tcPr>
            <w:tcW w:w="512" w:type="pct"/>
            <w:vMerge w:val="continue"/>
            <w:noWrap w:val="0"/>
            <w:vAlign w:val="center"/>
          </w:tcPr>
          <w:p>
            <w:pPr>
              <w:adjustRightInd w:val="0"/>
              <w:spacing w:line="400" w:lineRule="exact"/>
              <w:jc w:val="left"/>
              <w:rPr>
                <w:rFonts w:hint="eastAsia" w:ascii="宋体" w:hAnsi="宋体" w:cs="宋体"/>
                <w:color w:val="000000"/>
                <w:kern w:val="0"/>
                <w:sz w:val="18"/>
                <w:szCs w:val="18"/>
              </w:rPr>
            </w:pPr>
          </w:p>
        </w:tc>
        <w:tc>
          <w:tcPr>
            <w:tcW w:w="345"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分</w:t>
            </w:r>
          </w:p>
        </w:tc>
        <w:tc>
          <w:tcPr>
            <w:tcW w:w="2746" w:type="pct"/>
            <w:noWrap w:val="0"/>
            <w:vAlign w:val="top"/>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供应商在成都设有办事处或分公司或常驻维修机构或提供承诺函承诺成交后在成都设立办事处、分公司或常驻维修机构得</w:t>
            </w: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分；</w:t>
            </w:r>
          </w:p>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注：需提供相关证明材料加盖供应商公章，未提供，不得分。</w:t>
            </w:r>
          </w:p>
        </w:tc>
        <w:tc>
          <w:tcPr>
            <w:tcW w:w="732"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bookmarkStart w:id="1" w:name="_GoBack"/>
      <w:bookmarkEnd w:id="1"/>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1121"/>
        <w:gridCol w:w="750"/>
        <w:gridCol w:w="94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1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份/个</w:t>
            </w:r>
            <w:r>
              <w:rPr>
                <w:rFonts w:hint="eastAsia" w:ascii="仿宋_GB2312" w:hAnsi="Segoe UI" w:eastAsia="仿宋_GB2312" w:cs="Segoe UI"/>
                <w:color w:val="333333"/>
                <w:kern w:val="0"/>
                <w:sz w:val="24"/>
                <w:szCs w:val="24"/>
              </w:rPr>
              <w:t>)</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 w:hAnsi="仿宋" w:eastAsia="仿宋" w:cs="宋体"/>
                <w:color w:val="000000"/>
                <w:kern w:val="0"/>
                <w:sz w:val="28"/>
                <w:szCs w:val="28"/>
                <w:lang w:val="en-US" w:eastAsia="zh-CN"/>
              </w:rPr>
              <w:t>产品挂网代码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9883DB3"/>
    <w:rsid w:val="15B626DC"/>
    <w:rsid w:val="1A707F41"/>
    <w:rsid w:val="1DE05766"/>
    <w:rsid w:val="1E997E27"/>
    <w:rsid w:val="22827069"/>
    <w:rsid w:val="25933A00"/>
    <w:rsid w:val="35E40AE0"/>
    <w:rsid w:val="395149AF"/>
    <w:rsid w:val="3DA970F6"/>
    <w:rsid w:val="3DE462AE"/>
    <w:rsid w:val="63D266D5"/>
    <w:rsid w:val="734A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2023-02-22T03:18:00Z</cp:lastPrinted>
  <dcterms:modified xsi:type="dcterms:W3CDTF">2023-03-22T03:20:24Z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