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bookmarkStart w:id="1" w:name="_GoBack"/>
      <w:bookmarkEnd w:id="1"/>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采购项目需求</w:t>
      </w:r>
    </w:p>
    <w:p>
      <w:pPr>
        <w:widowControl/>
        <w:numPr>
          <w:ilvl w:val="0"/>
          <w:numId w:val="0"/>
        </w:numPr>
        <w:shd w:val="clear" w:color="auto" w:fill="FFFFFF"/>
        <w:spacing w:line="400" w:lineRule="exact"/>
        <w:jc w:val="left"/>
        <w:rPr>
          <w:rFonts w:hint="eastAsia" w:ascii="仿宋" w:hAnsi="仿宋" w:eastAsia="仿宋" w:cs="Segoe UI"/>
          <w:b/>
          <w:color w:val="333333"/>
          <w:spacing w:val="8"/>
          <w:kern w:val="0"/>
          <w:sz w:val="28"/>
          <w:szCs w:val="28"/>
        </w:rPr>
      </w:pPr>
    </w:p>
    <w:tbl>
      <w:tblPr>
        <w:tblStyle w:val="6"/>
        <w:tblpPr w:leftFromText="180" w:rightFromText="180" w:vertAnchor="text" w:horzAnchor="page" w:tblpX="1942" w:tblpY="228"/>
        <w:tblOverlap w:val="never"/>
        <w:tblW w:w="54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83"/>
        <w:gridCol w:w="1425"/>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9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序号</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产品名称</w:t>
            </w:r>
          </w:p>
        </w:tc>
        <w:tc>
          <w:tcPr>
            <w:tcW w:w="76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年度预估使用量</w:t>
            </w:r>
          </w:p>
        </w:tc>
        <w:tc>
          <w:tcPr>
            <w:tcW w:w="3109"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39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w:t>
            </w:r>
          </w:p>
        </w:tc>
        <w:tc>
          <w:tcPr>
            <w:tcW w:w="738"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一次性使用硅胶导尿管</w:t>
            </w:r>
          </w:p>
        </w:tc>
        <w:tc>
          <w:tcPr>
            <w:tcW w:w="76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300根</w:t>
            </w:r>
          </w:p>
        </w:tc>
        <w:tc>
          <w:tcPr>
            <w:tcW w:w="3109"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1.产品结构组成：由导尿腔、球囊、排出孔、单向阀、导尿管塞、助插内芯等组成。</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▲2.材质要求：导尿管由硅胶材料制成。</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▲3.规格型号：双腔，型号≥6Fr-12Fr。</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4.灭菌要求：产品为无菌，一次性使用。</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2.16万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宋体"/>
          <w:color w:val="000000"/>
          <w:kern w:val="0"/>
          <w:sz w:val="28"/>
          <w:szCs w:val="28"/>
          <w:lang w:val="en-US" w:eastAsia="zh-CN"/>
        </w:rPr>
        <w:t>2.供货期限：3年。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投标产品属于国家医疗保障局发布的《医保医用耗材分类与代码》目录且具有医疗器械注册证的全部医用耗材（不含一类医疗器械）的，必须为四川省药械集中采购及医药价格监管平台挂网产品，并提供产品挂网商品代码。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2.若产品有多种规格型号且价格不同，投标人应将所有型号分项报价。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Segoe UI"/>
          <w:b/>
          <w:bCs/>
          <w:color w:val="333333"/>
          <w:kern w:val="0"/>
          <w:sz w:val="28"/>
          <w:szCs w:val="28"/>
        </w:rPr>
      </w:pPr>
      <w:r>
        <w:rPr>
          <w:rFonts w:hint="eastAsia" w:ascii="仿宋" w:hAnsi="仿宋" w:eastAsia="仿宋" w:cs="宋体"/>
          <w:color w:val="000000"/>
          <w:kern w:val="0"/>
          <w:sz w:val="28"/>
          <w:szCs w:val="28"/>
          <w:lang w:val="en-US" w:eastAsia="zh-CN"/>
        </w:rPr>
        <w:t>1.产品年度预计使用量供投标人参考，只作为报价测算依据，不做其它用途使用。</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6"/>
        <w:tblpPr w:leftFromText="180" w:rightFromText="180" w:vertAnchor="text" w:horzAnchor="page" w:tblpX="731" w:tblpY="894"/>
        <w:tblOverlap w:val="never"/>
        <w:tblW w:w="62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75"/>
        <w:gridCol w:w="1086"/>
        <w:gridCol w:w="731"/>
        <w:gridCol w:w="582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90"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747"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73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30分</w:t>
            </w:r>
          </w:p>
        </w:tc>
        <w:tc>
          <w:tcPr>
            <w:tcW w:w="2747" w:type="pct"/>
            <w:noWrap w:val="0"/>
            <w:vAlign w:val="center"/>
          </w:tcPr>
          <w:p>
            <w:pPr>
              <w:widowControl/>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1.价格分：</w:t>
            </w:r>
          </w:p>
          <w:p>
            <w:pPr>
              <w:widowControl/>
              <w:wordWrap w:val="0"/>
              <w:spacing w:line="270" w:lineRule="atLeast"/>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响应材料满足磋商文件要求且以最后报价总价最低的为评审基准价，其价格分为</w:t>
            </w: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分。其他供应商的价格分统一按照以下公式计算：价格分=(评审基准价／最后报价总价)×</w:t>
            </w:r>
            <w:r>
              <w:rPr>
                <w:rFonts w:hint="eastAsia" w:ascii="宋体" w:hAnsi="宋体" w:cs="宋体"/>
                <w:color w:val="000000"/>
                <w:kern w:val="0"/>
                <w:sz w:val="18"/>
                <w:szCs w:val="18"/>
                <w:lang w:val="en-US" w:eastAsia="zh-CN"/>
              </w:rPr>
              <w:t>30</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2.最后报价总价</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最后报价总价=各规格型号的均价*年度预估用量</w:t>
            </w:r>
          </w:p>
        </w:tc>
        <w:tc>
          <w:tcPr>
            <w:tcW w:w="734"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36</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36分</w:t>
            </w:r>
          </w:p>
        </w:tc>
        <w:tc>
          <w:tcPr>
            <w:tcW w:w="2747" w:type="pct"/>
            <w:noWrap w:val="0"/>
            <w:vAlign w:val="center"/>
          </w:tcPr>
          <w:p>
            <w:pPr>
              <w:widowControl/>
              <w:wordWrap w:val="0"/>
              <w:spacing w:line="270" w:lineRule="atLeas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完全符合招标文件技术参数要求得</w:t>
            </w:r>
            <w:r>
              <w:rPr>
                <w:rFonts w:hint="eastAsia" w:ascii="宋体" w:hAnsi="宋体" w:cs="宋体"/>
                <w:color w:val="000000"/>
                <w:kern w:val="0"/>
                <w:sz w:val="18"/>
                <w:szCs w:val="18"/>
                <w:highlight w:val="none"/>
                <w:lang w:val="en-US" w:eastAsia="zh-CN"/>
              </w:rPr>
              <w:t>36</w:t>
            </w:r>
            <w:r>
              <w:rPr>
                <w:rFonts w:hint="eastAsia" w:ascii="宋体" w:hAnsi="宋体" w:cs="宋体"/>
                <w:color w:val="000000"/>
                <w:kern w:val="0"/>
                <w:sz w:val="18"/>
                <w:szCs w:val="18"/>
                <w:highlight w:val="none"/>
              </w:rPr>
              <w:t>分。▲号条款负偏离一项扣</w:t>
            </w:r>
            <w:r>
              <w:rPr>
                <w:rFonts w:hint="eastAsia" w:ascii="宋体" w:hAnsi="宋体" w:cs="宋体"/>
                <w:color w:val="000000"/>
                <w:kern w:val="0"/>
                <w:sz w:val="18"/>
                <w:szCs w:val="18"/>
                <w:highlight w:val="none"/>
                <w:lang w:val="en-US" w:eastAsia="zh-CN"/>
              </w:rPr>
              <w:t>12</w:t>
            </w:r>
            <w:r>
              <w:rPr>
                <w:rFonts w:hint="eastAsia" w:ascii="宋体" w:hAnsi="宋体" w:cs="宋体"/>
                <w:color w:val="000000"/>
                <w:kern w:val="0"/>
                <w:sz w:val="18"/>
                <w:szCs w:val="18"/>
                <w:highlight w:val="none"/>
              </w:rPr>
              <w:t>分，非▲号条款负偏离一项扣</w:t>
            </w:r>
            <w:r>
              <w:rPr>
                <w:rFonts w:hint="eastAsia" w:ascii="宋体" w:hAnsi="宋体" w:cs="宋体"/>
                <w:color w:val="000000"/>
                <w:kern w:val="0"/>
                <w:sz w:val="18"/>
                <w:szCs w:val="18"/>
                <w:highlight w:val="none"/>
                <w:lang w:val="en-US" w:eastAsia="zh-CN"/>
              </w:rPr>
              <w:t>6</w:t>
            </w:r>
            <w:r>
              <w:rPr>
                <w:rFonts w:hint="eastAsia" w:ascii="宋体" w:hAnsi="宋体" w:cs="宋体"/>
                <w:color w:val="000000"/>
                <w:kern w:val="0"/>
                <w:sz w:val="18"/>
                <w:szCs w:val="18"/>
                <w:highlight w:val="none"/>
              </w:rPr>
              <w:t>分，扣完为止。（▲号条款共</w:t>
            </w: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项，非▲号条款共</w:t>
            </w: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项）。</w:t>
            </w:r>
          </w:p>
          <w:p>
            <w:pPr>
              <w:widowControl/>
              <w:wordWrap w:val="0"/>
              <w:spacing w:line="270" w:lineRule="atLeas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rPr>
              <w:t>（1）</w:t>
            </w:r>
            <w:r>
              <w:rPr>
                <w:rFonts w:hint="eastAsia" w:ascii="宋体" w:hAnsi="宋体" w:cs="宋体"/>
                <w:color w:val="000000"/>
                <w:kern w:val="0"/>
                <w:sz w:val="18"/>
                <w:szCs w:val="18"/>
                <w:highlight w:val="none"/>
              </w:rPr>
              <w:t>▲</w:t>
            </w:r>
            <w:r>
              <w:rPr>
                <w:rFonts w:hint="eastAsia" w:ascii="宋体" w:hAnsi="宋体" w:eastAsia="宋体" w:cs="宋体"/>
                <w:color w:val="000000"/>
                <w:kern w:val="0"/>
                <w:sz w:val="18"/>
                <w:szCs w:val="18"/>
                <w:highlight w:val="none"/>
                <w:lang w:val="en-US" w:eastAsia="zh-CN"/>
              </w:rPr>
              <w:t>技术</w:t>
            </w:r>
            <w:r>
              <w:rPr>
                <w:rFonts w:hint="eastAsia" w:ascii="宋体" w:hAnsi="宋体" w:eastAsia="宋体" w:cs="宋体"/>
                <w:color w:val="000000"/>
                <w:kern w:val="0"/>
                <w:sz w:val="18"/>
                <w:szCs w:val="18"/>
                <w:highlight w:val="none"/>
              </w:rPr>
              <w:t>条款需提供所投产品</w:t>
            </w:r>
            <w:r>
              <w:rPr>
                <w:rFonts w:hint="eastAsia" w:ascii="宋体" w:hAnsi="宋体" w:eastAsia="宋体" w:cs="宋体"/>
                <w:color w:val="000000"/>
                <w:kern w:val="0"/>
                <w:sz w:val="18"/>
                <w:szCs w:val="18"/>
                <w:highlight w:val="none"/>
                <w:lang w:val="en-US" w:eastAsia="zh-CN"/>
              </w:rPr>
              <w:t>的</w:t>
            </w:r>
            <w:r>
              <w:rPr>
                <w:rFonts w:hint="eastAsia" w:ascii="宋体" w:hAnsi="宋体" w:eastAsia="宋体" w:cs="宋体"/>
                <w:color w:val="000000"/>
                <w:kern w:val="0"/>
                <w:sz w:val="18"/>
                <w:szCs w:val="18"/>
                <w:highlight w:val="none"/>
              </w:rPr>
              <w:t>证明文件</w:t>
            </w:r>
            <w:r>
              <w:rPr>
                <w:rFonts w:hint="eastAsia" w:ascii="宋体" w:hAnsi="宋体" w:eastAsia="宋体" w:cs="宋体"/>
                <w:color w:val="000000"/>
                <w:kern w:val="0"/>
                <w:sz w:val="18"/>
                <w:szCs w:val="18"/>
                <w:highlight w:val="none"/>
                <w:lang w:eastAsia="zh-CN"/>
              </w:rPr>
              <w:t>。</w:t>
            </w:r>
          </w:p>
          <w:p>
            <w:pPr>
              <w:widowControl/>
              <w:wordWrap w:val="0"/>
              <w:spacing w:line="270" w:lineRule="atLeas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（2）如技术指标在投标文件中未对应出现或在投标文件中存在自相矛</w:t>
            </w:r>
          </w:p>
          <w:p>
            <w:pPr>
              <w:widowControl/>
              <w:wordWrap w:val="0"/>
              <w:spacing w:line="270" w:lineRule="atLeas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盾之处或未提供的不得分。</w:t>
            </w:r>
          </w:p>
        </w:tc>
        <w:tc>
          <w:tcPr>
            <w:tcW w:w="734"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2747" w:type="pct"/>
            <w:noWrap w:val="0"/>
            <w:vAlign w:val="center"/>
          </w:tcPr>
          <w:p>
            <w:pPr>
              <w:adjustRightInd w:val="0"/>
              <w:spacing w:line="400" w:lineRule="exact"/>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提供响应产品2020年1月1日以来</w:t>
            </w:r>
            <w:r>
              <w:rPr>
                <w:rFonts w:hint="eastAsia" w:ascii="宋体" w:hAnsi="宋体" w:cs="宋体"/>
                <w:color w:val="000000"/>
                <w:kern w:val="0"/>
                <w:sz w:val="18"/>
                <w:szCs w:val="18"/>
                <w:highlight w:val="none"/>
                <w:lang w:val="en-US" w:eastAsia="zh-CN"/>
              </w:rPr>
              <w:t>国</w:t>
            </w:r>
            <w:r>
              <w:rPr>
                <w:rFonts w:hint="eastAsia" w:ascii="宋体" w:hAnsi="宋体" w:cs="宋体"/>
                <w:color w:val="000000"/>
                <w:kern w:val="0"/>
                <w:sz w:val="18"/>
                <w:szCs w:val="18"/>
                <w:highlight w:val="none"/>
              </w:rPr>
              <w:t>内三甲医疗机构业绩证明，每提供1个</w:t>
            </w:r>
            <w:r>
              <w:rPr>
                <w:rFonts w:hint="eastAsia" w:ascii="宋体" w:hAnsi="宋体" w:cs="宋体"/>
                <w:color w:val="000000"/>
                <w:kern w:val="0"/>
                <w:sz w:val="18"/>
                <w:szCs w:val="18"/>
                <w:highlight w:val="none"/>
                <w:lang w:val="en-US" w:eastAsia="zh-CN"/>
              </w:rPr>
              <w:t>产品的</w:t>
            </w:r>
            <w:r>
              <w:rPr>
                <w:rFonts w:hint="eastAsia" w:ascii="宋体" w:hAnsi="宋体" w:cs="宋体"/>
                <w:color w:val="000000"/>
                <w:kern w:val="0"/>
                <w:sz w:val="18"/>
                <w:szCs w:val="18"/>
                <w:highlight w:val="none"/>
              </w:rPr>
              <w:t>业绩得</w:t>
            </w:r>
            <w:r>
              <w:rPr>
                <w:rFonts w:hint="eastAsia" w:ascii="宋体" w:hAnsi="宋体" w:cs="宋体"/>
                <w:color w:val="000000"/>
                <w:kern w:val="0"/>
                <w:sz w:val="18"/>
                <w:szCs w:val="18"/>
                <w:highlight w:val="none"/>
                <w:lang w:val="en-US" w:eastAsia="zh-CN"/>
              </w:rPr>
              <w:t>1</w:t>
            </w:r>
            <w:r>
              <w:rPr>
                <w:rFonts w:hint="eastAsia" w:ascii="宋体" w:hAnsi="宋体" w:cs="宋体"/>
                <w:color w:val="000000"/>
                <w:kern w:val="0"/>
                <w:sz w:val="18"/>
                <w:szCs w:val="18"/>
                <w:highlight w:val="none"/>
              </w:rPr>
              <w:t>分，</w:t>
            </w:r>
            <w:r>
              <w:rPr>
                <w:rFonts w:hint="eastAsia" w:ascii="宋体" w:hAnsi="宋体" w:cs="宋体"/>
                <w:color w:val="000000"/>
                <w:kern w:val="0"/>
                <w:sz w:val="18"/>
                <w:szCs w:val="18"/>
                <w:highlight w:val="none"/>
                <w:lang w:val="en-US" w:eastAsia="zh-CN"/>
              </w:rPr>
              <w:t>业绩最多</w:t>
            </w:r>
            <w:r>
              <w:rPr>
                <w:rFonts w:hint="eastAsia" w:ascii="宋体" w:hAnsi="宋体" w:cs="宋体"/>
                <w:color w:val="000000"/>
                <w:kern w:val="0"/>
                <w:sz w:val="18"/>
                <w:szCs w:val="18"/>
                <w:highlight w:val="none"/>
              </w:rPr>
              <w:t>得</w:t>
            </w:r>
            <w:r>
              <w:rPr>
                <w:rFonts w:hint="eastAsia" w:ascii="宋体" w:hAnsi="宋体" w:cs="宋体"/>
                <w:color w:val="000000"/>
                <w:kern w:val="0"/>
                <w:sz w:val="18"/>
                <w:szCs w:val="18"/>
                <w:highlight w:val="none"/>
                <w:lang w:val="en-US" w:eastAsia="zh-CN"/>
              </w:rPr>
              <w:t>10</w:t>
            </w:r>
            <w:r>
              <w:rPr>
                <w:rFonts w:hint="eastAsia" w:ascii="宋体" w:hAnsi="宋体" w:cs="宋体"/>
                <w:color w:val="000000"/>
                <w:kern w:val="0"/>
                <w:sz w:val="18"/>
                <w:szCs w:val="18"/>
                <w:highlight w:val="none"/>
              </w:rPr>
              <w:t>分。</w:t>
            </w:r>
          </w:p>
          <w:p>
            <w:pPr>
              <w:adjustRightInd w:val="0"/>
              <w:spacing w:line="40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注：需提供合同复印件或发票复印件（若发票复印件上无产品明细则需附销货清单）作为得分依据。非三甲医疗机构业绩证明请勿提供。</w:t>
            </w:r>
          </w:p>
        </w:tc>
        <w:tc>
          <w:tcPr>
            <w:tcW w:w="734" w:type="pct"/>
            <w:noWrap w:val="0"/>
            <w:vAlign w:val="center"/>
          </w:tcPr>
          <w:p>
            <w:pPr>
              <w:adjustRightInd w:val="0"/>
              <w:spacing w:before="156" w:beforeLines="50" w:after="156" w:afterLines="50"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512"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样品评分</w:t>
            </w:r>
          </w:p>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44"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12</w:t>
            </w:r>
            <w:r>
              <w:rPr>
                <w:rFonts w:hint="eastAsia" w:ascii="宋体" w:hAnsi="宋体" w:eastAsia="宋体" w:cs="宋体"/>
                <w:color w:val="000000"/>
                <w:kern w:val="0"/>
                <w:sz w:val="18"/>
                <w:szCs w:val="18"/>
                <w:highlight w:val="none"/>
                <w:lang w:val="en-US" w:eastAsia="zh-CN"/>
              </w:rPr>
              <w:t>分</w:t>
            </w:r>
          </w:p>
        </w:tc>
        <w:tc>
          <w:tcPr>
            <w:tcW w:w="2747" w:type="pct"/>
            <w:noWrap w:val="0"/>
            <w:vAlign w:val="center"/>
          </w:tcPr>
          <w:p>
            <w:pPr>
              <w:adjustRightInd w:val="0"/>
              <w:spacing w:line="400" w:lineRule="exac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rPr>
              <w:t>提供投标产品样品及产品说明书，根据样品的外观、材质、性能、是否符合临床需等综合评定，优9-12分；良得5-8分；差得1-4分；不合格或未提供样品及产品详细资料</w:t>
            </w:r>
            <w:r>
              <w:rPr>
                <w:rFonts w:hint="eastAsia" w:ascii="宋体" w:hAnsi="宋体" w:eastAsia="宋体" w:cs="宋体"/>
                <w:color w:val="000000"/>
                <w:kern w:val="0"/>
                <w:sz w:val="18"/>
                <w:szCs w:val="18"/>
                <w:highlight w:val="none"/>
              </w:rPr>
              <w:t>说明的不得分；样品品牌信息遮挡不全不得分。</w:t>
            </w:r>
          </w:p>
        </w:tc>
        <w:tc>
          <w:tcPr>
            <w:tcW w:w="734" w:type="pct"/>
            <w:noWrap w:val="0"/>
            <w:vAlign w:val="center"/>
          </w:tcPr>
          <w:p>
            <w:pPr>
              <w:adjustRightInd w:val="0"/>
              <w:spacing w:before="156" w:beforeLines="50" w:after="156" w:afterLines="50"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vMerge w:val="restart"/>
            <w:noWrap w:val="0"/>
            <w:vAlign w:val="center"/>
          </w:tcPr>
          <w:p>
            <w:pPr>
              <w:adjustRightInd w:val="0"/>
              <w:spacing w:line="400" w:lineRule="exact"/>
              <w:ind w:firstLine="180" w:firstLineChars="10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512" w:type="pct"/>
            <w:vMerge w:val="restar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w:t>
            </w: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2747" w:type="pct"/>
            <w:noWrap w:val="0"/>
            <w:vAlign w:val="top"/>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根据供应商提供的售后服务方案，包含：①售后服务承诺；②技术支持；③缺货应急方案；④服务响应等四个方面进行评审，四方面提供完整且描述详细，符合本项目实际情况、有利于项目实施的得</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分；每缺少一项或提供的方案与本项目无关的扣</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分；每有一项存在缺陷或漏洞的，且不利于项目实施的扣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分，分值扣完为止。</w:t>
            </w:r>
          </w:p>
        </w:tc>
        <w:tc>
          <w:tcPr>
            <w:tcW w:w="73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vMerge w:val="continue"/>
            <w:noWrap w:val="0"/>
            <w:vAlign w:val="center"/>
          </w:tcPr>
          <w:p>
            <w:pPr>
              <w:adjustRightInd w:val="0"/>
              <w:spacing w:line="400" w:lineRule="exact"/>
              <w:jc w:val="left"/>
              <w:rPr>
                <w:rFonts w:hint="eastAsia" w:ascii="宋体" w:hAnsi="宋体" w:cs="宋体"/>
                <w:color w:val="000000"/>
                <w:kern w:val="0"/>
                <w:sz w:val="18"/>
                <w:szCs w:val="18"/>
              </w:rPr>
            </w:pPr>
          </w:p>
        </w:tc>
        <w:tc>
          <w:tcPr>
            <w:tcW w:w="512" w:type="pct"/>
            <w:vMerge w:val="continue"/>
            <w:noWrap w:val="0"/>
            <w:vAlign w:val="center"/>
          </w:tcPr>
          <w:p>
            <w:pPr>
              <w:adjustRightInd w:val="0"/>
              <w:spacing w:line="400" w:lineRule="exact"/>
              <w:jc w:val="left"/>
              <w:rPr>
                <w:rFonts w:hint="eastAsia" w:ascii="宋体" w:hAnsi="宋体" w:cs="宋体"/>
                <w:color w:val="000000"/>
                <w:kern w:val="0"/>
                <w:sz w:val="18"/>
                <w:szCs w:val="18"/>
              </w:rPr>
            </w:pP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c>
          <w:tcPr>
            <w:tcW w:w="2747" w:type="pct"/>
            <w:noWrap w:val="0"/>
            <w:vAlign w:val="top"/>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供应商在成都设有办事处或分公司或常驻维修机构或提供承诺函承诺成交后在成都设立办事处、分公司或常驻维修机构得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注：需提供相关证明材料加盖供应商公章，未提供，不得分。</w:t>
            </w:r>
          </w:p>
        </w:tc>
        <w:tc>
          <w:tcPr>
            <w:tcW w:w="73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 w:hAnsi="仿宋" w:eastAsia="仿宋" w:cs="宋体"/>
                <w:color w:val="000000"/>
                <w:kern w:val="0"/>
                <w:sz w:val="28"/>
                <w:szCs w:val="28"/>
                <w:lang w:val="en-US" w:eastAsia="zh-CN"/>
              </w:rPr>
              <w:t>产品挂网代码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300</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1841F"/>
    <w:multiLevelType w:val="singleLevel"/>
    <w:tmpl w:val="99B184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9883DB3"/>
    <w:rsid w:val="15B626DC"/>
    <w:rsid w:val="1A707F41"/>
    <w:rsid w:val="1DE05766"/>
    <w:rsid w:val="1E997E27"/>
    <w:rsid w:val="22827069"/>
    <w:rsid w:val="25933A00"/>
    <w:rsid w:val="35E40AE0"/>
    <w:rsid w:val="368F2498"/>
    <w:rsid w:val="395149AF"/>
    <w:rsid w:val="3DA970F6"/>
    <w:rsid w:val="3DE462AE"/>
    <w:rsid w:val="63D266D5"/>
    <w:rsid w:val="6CA02C6A"/>
    <w:rsid w:val="734A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2023-02-22T03:18:00Z</cp:lastPrinted>
  <dcterms:modified xsi:type="dcterms:W3CDTF">2023-04-04T02:35:36Z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