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仿宋" w:hAnsi="仿宋" w:eastAsia="仿宋"/>
          <w:sz w:val="28"/>
          <w:szCs w:val="28"/>
          <w:lang w:eastAsia="zh-CN"/>
        </w:rPr>
      </w:pPr>
      <w:bookmarkStart w:id="4" w:name="_GoBack"/>
      <w:bookmarkEnd w:id="4"/>
      <w:r>
        <w:rPr>
          <w:rFonts w:hint="eastAsia" w:ascii="仿宋" w:hAnsi="仿宋" w:eastAsia="仿宋"/>
          <w:sz w:val="28"/>
          <w:szCs w:val="28"/>
          <w:lang w:eastAsia="zh-CN"/>
        </w:rPr>
        <w:t>附件1：参选机构要求</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附件2：合作方案基本格式</w:t>
      </w:r>
    </w:p>
    <w:p>
      <w:pPr>
        <w:outlineLvl w:val="0"/>
        <w:rPr>
          <w:rFonts w:hint="default" w:ascii="仿宋" w:hAnsi="仿宋" w:eastAsia="仿宋"/>
          <w:sz w:val="28"/>
          <w:szCs w:val="28"/>
          <w:lang w:val="en-US"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3：报价表</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4</w:t>
      </w:r>
      <w:r>
        <w:rPr>
          <w:rFonts w:hint="eastAsia" w:ascii="仿宋" w:hAnsi="仿宋" w:eastAsia="仿宋"/>
          <w:sz w:val="28"/>
          <w:szCs w:val="28"/>
          <w:lang w:eastAsia="zh-CN"/>
        </w:rPr>
        <w:t>: 参选方案文件书装订顺序</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5</w:t>
      </w:r>
      <w:r>
        <w:rPr>
          <w:rFonts w:hint="eastAsia" w:ascii="仿宋" w:hAnsi="仿宋" w:eastAsia="仿宋"/>
          <w:sz w:val="28"/>
          <w:szCs w:val="28"/>
          <w:lang w:eastAsia="zh-CN"/>
        </w:rPr>
        <w:t>：偏离表</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6</w:t>
      </w:r>
      <w:r>
        <w:rPr>
          <w:rFonts w:hint="eastAsia" w:ascii="仿宋" w:hAnsi="仿宋" w:eastAsia="仿宋"/>
          <w:sz w:val="28"/>
          <w:szCs w:val="28"/>
          <w:lang w:eastAsia="zh-CN"/>
        </w:rPr>
        <w:t>：法定代表人身份授权书</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7</w:t>
      </w:r>
      <w:r>
        <w:rPr>
          <w:rFonts w:hint="eastAsia" w:ascii="仿宋" w:hAnsi="仿宋" w:eastAsia="仿宋"/>
          <w:sz w:val="28"/>
          <w:szCs w:val="28"/>
          <w:lang w:eastAsia="zh-CN"/>
        </w:rPr>
        <w:t>：反商业贿赂承诺书</w:t>
      </w:r>
    </w:p>
    <w:p>
      <w:pPr>
        <w:outlineLvl w:val="0"/>
        <w:rPr>
          <w:rFonts w:hint="default" w:ascii="仿宋" w:hAnsi="仿宋" w:eastAsia="仿宋"/>
          <w:sz w:val="28"/>
          <w:szCs w:val="28"/>
          <w:lang w:val="en-US"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8：无围标、串标行为承诺书</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9</w:t>
      </w:r>
      <w:r>
        <w:rPr>
          <w:rFonts w:hint="eastAsia" w:ascii="仿宋" w:hAnsi="仿宋" w:eastAsia="仿宋"/>
          <w:sz w:val="28"/>
          <w:szCs w:val="28"/>
          <w:lang w:eastAsia="zh-CN"/>
        </w:rPr>
        <w:t>：评审办法（综合评分明细表）</w:t>
      </w:r>
    </w:p>
    <w:p>
      <w:pPr>
        <w:outlineLvl w:val="0"/>
        <w:rPr>
          <w:rFonts w:hint="eastAsia" w:ascii="仿宋" w:hAnsi="仿宋" w:eastAsia="仿宋"/>
          <w:sz w:val="28"/>
          <w:szCs w:val="28"/>
          <w:lang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sz w:val="28"/>
          <w:szCs w:val="28"/>
          <w:lang w:eastAsia="zh-CN"/>
        </w:rPr>
        <w:t>附件10：医疗服务项目收费标准</w:t>
      </w:r>
    </w:p>
    <w:p>
      <w:pPr>
        <w:rPr>
          <w:rFonts w:hint="eastAsia"/>
          <w:lang w:eastAsia="zh-CN"/>
        </w:rPr>
      </w:pPr>
    </w:p>
    <w:p>
      <w:pPr>
        <w:outlineLvl w:val="0"/>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p>
    <w:p>
      <w:pPr>
        <w:adjustRightInd w:val="0"/>
        <w:snapToGrid w:val="0"/>
        <w:spacing w:line="480" w:lineRule="auto"/>
        <w:ind w:firstLine="640"/>
        <w:jc w:val="center"/>
        <w:outlineLvl w:val="0"/>
        <w:rPr>
          <w:rFonts w:hint="eastAsia" w:ascii="仿宋" w:hAnsi="仿宋" w:eastAsia="仿宋"/>
          <w:b/>
          <w:sz w:val="32"/>
          <w:szCs w:val="32"/>
        </w:rPr>
      </w:pPr>
      <w:r>
        <w:rPr>
          <w:rFonts w:hint="eastAsia" w:ascii="仿宋" w:hAnsi="仿宋" w:eastAsia="仿宋"/>
          <w:b/>
          <w:sz w:val="32"/>
          <w:szCs w:val="32"/>
        </w:rPr>
        <w:t>参选机构要求</w:t>
      </w:r>
    </w:p>
    <w:p>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一、总体要求</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为规范我院大型医疗设备的检查服务流程及转诊流程，通过比选的方式引入一家或多家医疗机构，</w:t>
      </w:r>
      <w:r>
        <w:rPr>
          <w:rFonts w:hint="eastAsia" w:ascii="仿宋" w:hAnsi="仿宋" w:eastAsia="仿宋"/>
          <w:sz w:val="28"/>
          <w:szCs w:val="28"/>
          <w:highlight w:val="none"/>
        </w:rPr>
        <w:t>为需要进行正电子发射计算机断层显像（PET-CT、PET-MRI）等扫描的患者提供服务</w:t>
      </w:r>
      <w:r>
        <w:rPr>
          <w:rFonts w:hint="eastAsia" w:ascii="仿宋" w:hAnsi="仿宋" w:eastAsia="仿宋"/>
          <w:sz w:val="28"/>
          <w:szCs w:val="28"/>
          <w:highlight w:val="none"/>
          <w:lang w:val="en-US" w:eastAsia="zh-CN"/>
        </w:rPr>
        <w:t>。</w:t>
      </w:r>
    </w:p>
    <w:p>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二、具体合作内容</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双向转诊：参选机构需对我院无法开展的项目（包括但不限于PET-CT、PET-MRI），通过双向转诊的方式在参选机构进行诊断，参选机构为患者提供影像诊断报告，患者可根据报告在我院进行下一步临床诊治。参选机构负责向转诊患者收取项目检查费，参选机构定期与我院结算项目合作费用。</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2.学术交流与技术支持：我院可按照参选机构需求派相关专家对其疑难病例进行影像学诊断支持、临床影像会诊；对参选机构的医护人员进行学术授课、学术交流等。</w:t>
      </w:r>
    </w:p>
    <w:p>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三、资质要求</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1.营业执照（经有效年检，副本复印件）、税务证（国、地税副本复印件）、组织机构代码证（经有效年检，副本复印件）或提供三证合一的营业执照（经有效年检，副本复印件），经营范围必须包含医疗机构。</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2.医疗机构执业许可证（经有效年检，复印件），诊疗科目必须包含核医学专业。</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3.X线计算机断层扫描仪乙类大型医用设备配置许可证（经有效年检，复印件）。</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4.X线正电子发射断层扫描仪乙类大型医用设备配置许可证（经有效年检，复印件）。</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5.磁共振成像系统乙类大型医用设备配置许可证（经有效年检，复印件）。</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6.法定代表人身份授权书（原件，格式见附件6），法定代表人和经办人身份证复印件。</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7.具有良好的商业信誉和健全的财务会计制度。</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8.具有履行合同所必需的人员、设备和专业技术能力。</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9.具有依法缴纳税收和社会保障资金的良好记录。</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10.近三年内，参选机构（包含母公司和子公司）无重大行贿犯罪记录，无重大负面新闻。</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11.近三年内，参选机构未在经营活动中因违法行为受到刑事处罚、处以罚款或者没收财产5万元以上、责令停产停业、吊销许可证或者执照等行政处罚。</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12.参选机构承诺对我院转诊患者在</w:t>
      </w:r>
      <w:r>
        <w:rPr>
          <w:rFonts w:hint="eastAsia" w:ascii="仿宋" w:hAnsi="仿宋" w:eastAsia="仿宋"/>
          <w:sz w:val="28"/>
          <w:szCs w:val="28"/>
          <w:highlight w:val="none"/>
        </w:rPr>
        <w:t>医疗服务项目收费标准</w:t>
      </w:r>
      <w:r>
        <w:rPr>
          <w:rFonts w:hint="eastAsia" w:ascii="仿宋" w:hAnsi="仿宋" w:eastAsia="仿宋"/>
          <w:sz w:val="28"/>
          <w:szCs w:val="28"/>
          <w:highlight w:val="none"/>
          <w:lang w:val="en-US" w:eastAsia="zh-CN"/>
        </w:rPr>
        <w:t>基础上进行折扣优惠。</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w:t>
      </w:r>
      <w:r>
        <w:rPr>
          <w:rFonts w:hint="default" w:ascii="仿宋" w:hAnsi="仿宋" w:eastAsia="仿宋"/>
          <w:sz w:val="28"/>
          <w:szCs w:val="28"/>
          <w:highlight w:val="none"/>
          <w:lang w:val="en-US" w:eastAsia="zh-CN"/>
        </w:rPr>
        <w:t>3</w:t>
      </w:r>
      <w:r>
        <w:rPr>
          <w:rFonts w:hint="eastAsia" w:ascii="仿宋" w:hAnsi="仿宋" w:eastAsia="仿宋"/>
          <w:sz w:val="28"/>
          <w:szCs w:val="28"/>
          <w:highlight w:val="none"/>
          <w:lang w:val="en-US" w:eastAsia="zh-CN"/>
        </w:rPr>
        <w:t>.反商业贿赂承诺书（附件7）。</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w:t>
      </w:r>
      <w:r>
        <w:rPr>
          <w:rFonts w:hint="default" w:ascii="仿宋" w:hAnsi="仿宋" w:eastAsia="仿宋"/>
          <w:sz w:val="28"/>
          <w:szCs w:val="28"/>
          <w:lang w:val="en-US" w:eastAsia="zh-CN"/>
        </w:rPr>
        <w:t>4</w:t>
      </w:r>
      <w:r>
        <w:rPr>
          <w:rFonts w:hint="eastAsia" w:ascii="仿宋" w:hAnsi="仿宋" w:eastAsia="仿宋"/>
          <w:sz w:val="28"/>
          <w:szCs w:val="28"/>
          <w:highlight w:val="none"/>
          <w:lang w:val="en-US" w:eastAsia="zh-CN"/>
        </w:rPr>
        <w:t>.</w:t>
      </w:r>
      <w:r>
        <w:rPr>
          <w:rFonts w:hint="eastAsia" w:ascii="仿宋" w:hAnsi="仿宋" w:eastAsia="仿宋"/>
          <w:sz w:val="28"/>
          <w:szCs w:val="28"/>
          <w:highlight w:val="none"/>
        </w:rPr>
        <w:t>无围标、串标行为承诺书</w:t>
      </w:r>
      <w:r>
        <w:rPr>
          <w:rFonts w:hint="eastAsia" w:ascii="仿宋" w:hAnsi="仿宋" w:eastAsia="仿宋"/>
          <w:sz w:val="28"/>
          <w:szCs w:val="28"/>
          <w:highlight w:val="none"/>
          <w:lang w:eastAsia="zh-CN"/>
        </w:rPr>
        <w:t>（附件</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lang w:eastAsia="zh-CN"/>
        </w:rPr>
        <w:t>）。</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w:t>
      </w:r>
      <w:r>
        <w:rPr>
          <w:rFonts w:hint="default" w:ascii="仿宋" w:hAnsi="仿宋" w:eastAsia="仿宋"/>
          <w:sz w:val="28"/>
          <w:szCs w:val="28"/>
          <w:highlight w:val="none"/>
          <w:lang w:val="en-US" w:eastAsia="zh-CN"/>
        </w:rPr>
        <w:t>5</w:t>
      </w:r>
      <w:r>
        <w:rPr>
          <w:rFonts w:hint="eastAsia" w:ascii="仿宋" w:hAnsi="仿宋" w:eastAsia="仿宋"/>
          <w:sz w:val="28"/>
          <w:szCs w:val="28"/>
          <w:highlight w:val="none"/>
          <w:lang w:val="en-US" w:eastAsia="zh-CN"/>
        </w:rPr>
        <w:t>.本次比选活动不接受联合体投标。</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rPr>
        <w:t>注：</w:t>
      </w:r>
      <w:r>
        <w:rPr>
          <w:rFonts w:hint="eastAsia" w:ascii="仿宋" w:hAnsi="仿宋" w:eastAsia="仿宋"/>
          <w:b/>
          <w:bCs/>
          <w:sz w:val="28"/>
          <w:szCs w:val="28"/>
          <w:lang w:eastAsia="zh-CN"/>
        </w:rPr>
        <w:t>①</w:t>
      </w:r>
      <w:r>
        <w:rPr>
          <w:rFonts w:hint="eastAsia" w:ascii="仿宋" w:hAnsi="仿宋" w:eastAsia="仿宋"/>
          <w:b/>
          <w:bCs/>
          <w:sz w:val="28"/>
          <w:szCs w:val="28"/>
          <w:lang w:val="en-US" w:eastAsia="zh-CN"/>
        </w:rPr>
        <w:t>7</w:t>
      </w:r>
      <w:r>
        <w:rPr>
          <w:rFonts w:hint="eastAsia" w:ascii="仿宋" w:hAnsi="仿宋" w:eastAsia="仿宋"/>
          <w:b/>
          <w:bCs/>
          <w:sz w:val="28"/>
          <w:szCs w:val="28"/>
        </w:rPr>
        <w:t>—</w:t>
      </w:r>
      <w:r>
        <w:rPr>
          <w:rFonts w:hint="eastAsia" w:ascii="仿宋" w:hAnsi="仿宋" w:eastAsia="仿宋"/>
          <w:b/>
          <w:bCs/>
          <w:sz w:val="28"/>
          <w:szCs w:val="28"/>
          <w:lang w:val="en-US" w:eastAsia="zh-CN"/>
        </w:rPr>
        <w:t>1</w:t>
      </w:r>
      <w:r>
        <w:rPr>
          <w:rFonts w:hint="default" w:ascii="仿宋" w:hAnsi="仿宋" w:eastAsia="仿宋"/>
          <w:b/>
          <w:bCs/>
          <w:sz w:val="28"/>
          <w:szCs w:val="28"/>
          <w:lang w:val="en-US" w:eastAsia="zh-CN"/>
        </w:rPr>
        <w:t>5</w:t>
      </w:r>
      <w:r>
        <w:rPr>
          <w:rFonts w:hint="eastAsia" w:ascii="仿宋" w:hAnsi="仿宋" w:eastAsia="仿宋"/>
          <w:b/>
          <w:bCs/>
          <w:sz w:val="28"/>
          <w:szCs w:val="28"/>
        </w:rPr>
        <w:t>均提供承诺函原件并加盖鲜章</w:t>
      </w:r>
      <w:r>
        <w:rPr>
          <w:rFonts w:hint="eastAsia" w:ascii="仿宋" w:hAnsi="仿宋" w:eastAsia="仿宋"/>
          <w:b/>
          <w:bCs/>
          <w:sz w:val="28"/>
          <w:szCs w:val="28"/>
          <w:lang w:eastAsia="zh-CN"/>
        </w:rPr>
        <w:t>；</w:t>
      </w:r>
    </w:p>
    <w:p>
      <w:pPr>
        <w:ind w:firstLine="562" w:firstLineChars="200"/>
        <w:rPr>
          <w:rFonts w:hint="eastAsia"/>
        </w:rPr>
      </w:pPr>
      <w:r>
        <w:rPr>
          <w:rFonts w:hint="eastAsia" w:ascii="仿宋" w:hAnsi="仿宋" w:eastAsia="仿宋"/>
          <w:b/>
          <w:bCs/>
          <w:sz w:val="28"/>
          <w:szCs w:val="28"/>
          <w:lang w:eastAsia="zh-CN"/>
        </w:rPr>
        <w:t>②</w:t>
      </w:r>
      <w:r>
        <w:rPr>
          <w:rFonts w:hint="eastAsia" w:ascii="仿宋" w:hAnsi="仿宋" w:eastAsia="仿宋"/>
          <w:b/>
          <w:bCs/>
          <w:sz w:val="28"/>
          <w:szCs w:val="28"/>
        </w:rPr>
        <w:t>若提供的资格证明文件不全或不实，将导致其合作资格被取消。</w:t>
      </w:r>
    </w:p>
    <w:p>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四、技术服务要求</w:t>
      </w:r>
    </w:p>
    <w:p>
      <w:pPr>
        <w:spacing w:line="360" w:lineRule="auto"/>
        <w:ind w:firstLine="560" w:firstLineChars="200"/>
        <w:jc w:val="both"/>
        <w:rPr>
          <w:rFonts w:hint="eastAsia" w:ascii="仿宋" w:hAnsi="仿宋" w:eastAsia="仿宋"/>
          <w:sz w:val="28"/>
          <w:szCs w:val="28"/>
          <w:highlight w:val="none"/>
          <w:lang w:eastAsia="zh-CN"/>
        </w:rPr>
      </w:pP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参选</w:t>
      </w:r>
      <w:r>
        <w:rPr>
          <w:rFonts w:hint="eastAsia" w:ascii="仿宋" w:hAnsi="仿宋" w:eastAsia="仿宋"/>
          <w:sz w:val="28"/>
          <w:szCs w:val="28"/>
          <w:highlight w:val="none"/>
          <w:lang w:val="en-US" w:eastAsia="zh-CN"/>
        </w:rPr>
        <w:t>机构</w:t>
      </w:r>
      <w:r>
        <w:rPr>
          <w:rFonts w:hint="eastAsia" w:ascii="仿宋" w:hAnsi="仿宋" w:eastAsia="仿宋"/>
          <w:sz w:val="28"/>
          <w:szCs w:val="28"/>
          <w:highlight w:val="none"/>
          <w:lang w:eastAsia="zh-CN"/>
        </w:rPr>
        <w:t>具备</w:t>
      </w:r>
      <w:r>
        <w:rPr>
          <w:rFonts w:hint="eastAsia" w:ascii="仿宋" w:hAnsi="仿宋" w:eastAsia="仿宋"/>
          <w:sz w:val="28"/>
          <w:szCs w:val="28"/>
          <w:highlight w:val="none"/>
        </w:rPr>
        <w:t>独立完成正电子发射计算机断层显像（PET-CT、PET-MRI）</w:t>
      </w:r>
      <w:r>
        <w:rPr>
          <w:rFonts w:hint="eastAsia" w:ascii="仿宋" w:hAnsi="仿宋" w:eastAsia="仿宋"/>
          <w:sz w:val="28"/>
          <w:szCs w:val="28"/>
          <w:highlight w:val="none"/>
          <w:lang w:eastAsia="zh-CN"/>
        </w:rPr>
        <w:t>项目的</w:t>
      </w:r>
      <w:r>
        <w:rPr>
          <w:rFonts w:hint="eastAsia" w:ascii="仿宋" w:hAnsi="仿宋" w:eastAsia="仿宋"/>
          <w:sz w:val="28"/>
          <w:szCs w:val="28"/>
          <w:highlight w:val="none"/>
        </w:rPr>
        <w:t>检测能力，提供完善的质量管理体系说明</w:t>
      </w:r>
      <w:r>
        <w:rPr>
          <w:rFonts w:hint="eastAsia" w:ascii="仿宋" w:hAnsi="仿宋" w:eastAsia="仿宋"/>
          <w:sz w:val="28"/>
          <w:szCs w:val="28"/>
          <w:highlight w:val="none"/>
          <w:lang w:eastAsia="zh-CN"/>
        </w:rPr>
        <w:t>。</w:t>
      </w:r>
    </w:p>
    <w:p>
      <w:pPr>
        <w:spacing w:line="360" w:lineRule="auto"/>
        <w:ind w:firstLine="560" w:firstLineChars="200"/>
        <w:jc w:val="both"/>
        <w:rPr>
          <w:rFonts w:hint="eastAsia" w:ascii="仿宋" w:hAnsi="仿宋" w:eastAsia="仿宋"/>
          <w:sz w:val="28"/>
          <w:szCs w:val="28"/>
          <w:highlight w:val="none"/>
          <w:lang w:eastAsia="zh-CN"/>
        </w:rPr>
      </w:pP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2.</w:t>
      </w:r>
      <w:r>
        <w:rPr>
          <w:rFonts w:hint="eastAsia" w:ascii="仿宋" w:hAnsi="仿宋" w:eastAsia="仿宋"/>
          <w:sz w:val="28"/>
          <w:szCs w:val="28"/>
          <w:highlight w:val="none"/>
          <w:lang w:eastAsia="zh-CN"/>
        </w:rPr>
        <w:t>参选</w:t>
      </w:r>
      <w:r>
        <w:rPr>
          <w:rFonts w:hint="eastAsia" w:ascii="仿宋" w:hAnsi="仿宋" w:eastAsia="仿宋"/>
          <w:sz w:val="28"/>
          <w:szCs w:val="28"/>
          <w:highlight w:val="none"/>
          <w:lang w:val="en-US" w:eastAsia="zh-CN"/>
        </w:rPr>
        <w:t>机构</w:t>
      </w:r>
      <w:r>
        <w:rPr>
          <w:rFonts w:hint="eastAsia" w:ascii="仿宋" w:hAnsi="仿宋" w:eastAsia="仿宋"/>
          <w:sz w:val="28"/>
          <w:szCs w:val="28"/>
          <w:highlight w:val="none"/>
          <w:lang w:eastAsia="zh-CN"/>
        </w:rPr>
        <w:t>针对本项目配备的执业医师注册范围为医学影像、放射治疗专业，放射科医师、技师应当具备医用设备使用相关技术能力（提供人员相关资格证书，</w:t>
      </w:r>
      <w:r>
        <w:rPr>
          <w:rFonts w:hint="eastAsia" w:ascii="仿宋" w:hAnsi="仿宋" w:eastAsia="仿宋"/>
          <w:sz w:val="28"/>
          <w:szCs w:val="28"/>
          <w:highlight w:val="none"/>
          <w:lang w:val="en-US" w:eastAsia="zh-CN"/>
        </w:rPr>
        <w:t>与参选机构的聘用合同或社保缴纳证明材料并加盖参选机构鲜章</w:t>
      </w:r>
      <w:r>
        <w:rPr>
          <w:rFonts w:hint="eastAsia" w:ascii="仿宋" w:hAnsi="仿宋" w:eastAsia="仿宋"/>
          <w:sz w:val="28"/>
          <w:szCs w:val="28"/>
          <w:highlight w:val="none"/>
          <w:lang w:eastAsia="zh-CN"/>
        </w:rPr>
        <w:t>）。</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*3.参选机构所开展的检查项目应接受省级以上医学影像质控中心组织的质量评价，保证影像诊断结果的准确性。</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4.对于我院转诊患者参选机构应安排专人负责并提供绿色通道服务。</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*5.参选机构对我院转诊患者按照相关规范进行项目检查</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全部承担因其影像诊断检查行为或</w:t>
      </w:r>
      <w:r>
        <w:rPr>
          <w:rFonts w:hint="eastAsia" w:ascii="仿宋" w:hAnsi="仿宋" w:eastAsia="仿宋"/>
          <w:sz w:val="28"/>
          <w:szCs w:val="28"/>
          <w:highlight w:val="none"/>
          <w:lang w:eastAsia="zh-CN"/>
        </w:rPr>
        <w:t>影像诊断报告质量</w:t>
      </w:r>
      <w:r>
        <w:rPr>
          <w:rFonts w:hint="eastAsia" w:ascii="仿宋" w:hAnsi="仿宋" w:eastAsia="仿宋"/>
          <w:sz w:val="28"/>
          <w:szCs w:val="28"/>
          <w:highlight w:val="none"/>
          <w:lang w:val="en-US" w:eastAsia="zh-CN"/>
        </w:rPr>
        <w:t>导致的所有风险及相关法律责任，并负责赔偿由此给转诊患者、我院造成的损失。</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6.参选机构应提供在线报告查询系统，且影像诊断报告出具时间自接受扫描检查至发放报告时间不超过24小时。</w:t>
      </w:r>
    </w:p>
    <w:p>
      <w:pPr>
        <w:spacing w:line="360" w:lineRule="auto"/>
        <w:ind w:firstLine="560" w:firstLineChars="200"/>
        <w:jc w:val="both"/>
        <w:rPr>
          <w:rFonts w:hint="eastAsia" w:ascii="仿宋" w:hAnsi="仿宋" w:eastAsia="仿宋"/>
          <w:sz w:val="28"/>
          <w:szCs w:val="28"/>
          <w:highlight w:val="none"/>
        </w:rPr>
      </w:pP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参选</w:t>
      </w:r>
      <w:r>
        <w:rPr>
          <w:rFonts w:hint="eastAsia" w:ascii="仿宋" w:hAnsi="仿宋" w:eastAsia="仿宋"/>
          <w:sz w:val="28"/>
          <w:szCs w:val="28"/>
          <w:highlight w:val="none"/>
          <w:lang w:val="en-US" w:eastAsia="zh-CN"/>
        </w:rPr>
        <w:t>机构</w:t>
      </w:r>
      <w:r>
        <w:rPr>
          <w:rFonts w:hint="eastAsia" w:ascii="仿宋" w:hAnsi="仿宋" w:eastAsia="仿宋"/>
          <w:sz w:val="28"/>
          <w:szCs w:val="28"/>
          <w:highlight w:val="none"/>
        </w:rPr>
        <w:t>需为我院定制影像扫描序列并免费提供相应影像扫描数据。</w:t>
      </w:r>
    </w:p>
    <w:p>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rPr>
        <w:t>注：</w:t>
      </w:r>
      <w:r>
        <w:rPr>
          <w:rFonts w:hint="eastAsia" w:ascii="仿宋" w:hAnsi="仿宋" w:eastAsia="仿宋"/>
          <w:b/>
          <w:bCs/>
          <w:sz w:val="28"/>
          <w:szCs w:val="28"/>
          <w:highlight w:val="none"/>
          <w:lang w:val="en-US" w:eastAsia="zh-CN"/>
        </w:rPr>
        <w:t>以上7项</w:t>
      </w:r>
      <w:r>
        <w:rPr>
          <w:rFonts w:hint="eastAsia" w:ascii="仿宋" w:hAnsi="仿宋" w:eastAsia="仿宋"/>
          <w:b/>
          <w:bCs/>
          <w:sz w:val="28"/>
          <w:szCs w:val="28"/>
          <w:highlight w:val="none"/>
        </w:rPr>
        <w:t>均提供承诺函原件</w:t>
      </w:r>
      <w:r>
        <w:rPr>
          <w:rFonts w:hint="eastAsia" w:ascii="仿宋" w:hAnsi="仿宋" w:eastAsia="仿宋"/>
          <w:b/>
          <w:bCs/>
          <w:sz w:val="28"/>
          <w:szCs w:val="28"/>
          <w:highlight w:val="none"/>
          <w:lang w:val="en-US" w:eastAsia="zh-CN"/>
        </w:rPr>
        <w:t>或证明材料复印件</w:t>
      </w:r>
      <w:r>
        <w:rPr>
          <w:rFonts w:hint="eastAsia" w:ascii="仿宋" w:hAnsi="仿宋" w:eastAsia="仿宋"/>
          <w:b/>
          <w:bCs/>
          <w:sz w:val="28"/>
          <w:szCs w:val="28"/>
          <w:highlight w:val="none"/>
        </w:rPr>
        <w:t>并加盖鲜章。</w:t>
      </w:r>
    </w:p>
    <w:p>
      <w:pPr>
        <w:spacing w:line="360" w:lineRule="auto"/>
        <w:ind w:firstLine="562" w:firstLineChars="200"/>
        <w:jc w:val="both"/>
        <w:rPr>
          <w:rFonts w:hint="default"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五、合作期限</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项目服务期限：3年。</w:t>
      </w:r>
    </w:p>
    <w:p>
      <w:pPr>
        <w:spacing w:line="360" w:lineRule="auto"/>
        <w:ind w:firstLine="560" w:firstLineChars="200"/>
        <w:jc w:val="both"/>
        <w:rPr>
          <w:rFonts w:hint="eastAsia" w:ascii="仿宋" w:hAnsi="仿宋" w:eastAsia="仿宋"/>
          <w:sz w:val="28"/>
          <w:szCs w:val="28"/>
          <w:highlight w:val="none"/>
        </w:rPr>
        <w:sectPr>
          <w:pgSz w:w="11906" w:h="16838"/>
          <w:pgMar w:top="1440" w:right="1800" w:bottom="1440" w:left="1800" w:header="851" w:footer="992" w:gutter="0"/>
          <w:pgNumType w:fmt="decimal"/>
          <w:cols w:space="425" w:num="1"/>
          <w:docGrid w:type="lines" w:linePitch="312" w:charSpace="0"/>
        </w:sectPr>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2</w:t>
      </w:r>
      <w:r>
        <w:rPr>
          <w:rFonts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合作方案基本格式</w:t>
      </w:r>
    </w:p>
    <w:p>
      <w:pPr>
        <w:ind w:firstLine="560" w:firstLineChars="200"/>
        <w:rPr>
          <w:rFonts w:ascii="仿宋" w:hAnsi="仿宋" w:eastAsia="仿宋" w:cs="仿宋"/>
          <w:color w:val="000000"/>
          <w:sz w:val="28"/>
        </w:rPr>
      </w:pPr>
      <w:r>
        <w:rPr>
          <w:rFonts w:ascii="仿宋" w:hAnsi="仿宋" w:eastAsia="仿宋" w:cs="仿宋"/>
          <w:color w:val="000000"/>
          <w:sz w:val="28"/>
        </w:rPr>
        <w:t>至少需包括(不限于)以下内容</w:t>
      </w:r>
    </w:p>
    <w:p>
      <w:pPr>
        <w:ind w:firstLine="560" w:firstLineChars="200"/>
        <w:rPr>
          <w:rFonts w:ascii="仿宋" w:hAnsi="仿宋" w:eastAsia="仿宋" w:cs="仿宋"/>
          <w:color w:val="000000"/>
          <w:sz w:val="28"/>
        </w:rPr>
      </w:pPr>
      <w:r>
        <w:rPr>
          <w:rFonts w:hint="eastAsia" w:ascii="仿宋" w:hAnsi="仿宋" w:eastAsia="仿宋" w:cs="仿宋"/>
          <w:color w:val="000000"/>
          <w:sz w:val="28"/>
        </w:rPr>
        <w:t>1.</w:t>
      </w:r>
      <w:r>
        <w:rPr>
          <w:rFonts w:ascii="仿宋" w:hAnsi="仿宋" w:eastAsia="仿宋" w:cs="仿宋"/>
          <w:color w:val="000000"/>
          <w:sz w:val="28"/>
        </w:rPr>
        <w:t>满足医院合作模式,提供完整运行流程。</w:t>
      </w:r>
    </w:p>
    <w:p>
      <w:pPr>
        <w:ind w:firstLine="560" w:firstLineChars="200"/>
        <w:rPr>
          <w:rFonts w:ascii="仿宋" w:hAnsi="仿宋" w:eastAsia="仿宋" w:cs="仿宋"/>
          <w:color w:val="000000"/>
          <w:sz w:val="28"/>
        </w:rPr>
      </w:pPr>
      <w:r>
        <w:rPr>
          <w:rFonts w:hint="eastAsia" w:ascii="仿宋" w:hAnsi="仿宋" w:eastAsia="仿宋" w:cs="仿宋"/>
          <w:color w:val="000000"/>
          <w:sz w:val="28"/>
        </w:rPr>
        <w:t>2.</w:t>
      </w:r>
      <w:r>
        <w:rPr>
          <w:rFonts w:ascii="仿宋" w:hAnsi="仿宋" w:eastAsia="仿宋" w:cs="仿宋"/>
          <w:color w:val="000000"/>
          <w:sz w:val="28"/>
        </w:rPr>
        <w:t>质量控制流程。</w:t>
      </w:r>
    </w:p>
    <w:p>
      <w:pPr>
        <w:ind w:firstLine="560" w:firstLineChars="200"/>
        <w:rPr>
          <w:rFonts w:ascii="仿宋" w:hAnsi="仿宋" w:eastAsia="仿宋" w:cs="仿宋"/>
          <w:sz w:val="28"/>
        </w:rPr>
      </w:pPr>
      <w:r>
        <w:rPr>
          <w:rFonts w:hint="eastAsia" w:ascii="仿宋" w:hAnsi="仿宋" w:eastAsia="仿宋" w:cs="仿宋"/>
          <w:sz w:val="28"/>
          <w:lang w:val="en-US" w:eastAsia="zh-CN"/>
        </w:rPr>
        <w:t>3</w:t>
      </w:r>
      <w:r>
        <w:rPr>
          <w:rFonts w:hint="eastAsia" w:ascii="仿宋" w:hAnsi="仿宋" w:eastAsia="仿宋" w:cs="仿宋"/>
          <w:sz w:val="28"/>
        </w:rPr>
        <w:t>.</w:t>
      </w:r>
      <w:r>
        <w:rPr>
          <w:rFonts w:hint="eastAsia" w:ascii="仿宋" w:hAnsi="仿宋" w:eastAsia="仿宋" w:cs="仿宋"/>
          <w:sz w:val="28"/>
          <w:lang w:eastAsia="zh-CN"/>
        </w:rPr>
        <w:t>项目</w:t>
      </w:r>
      <w:r>
        <w:rPr>
          <w:rFonts w:ascii="仿宋" w:hAnsi="仿宋" w:eastAsia="仿宋" w:cs="仿宋"/>
          <w:sz w:val="28"/>
        </w:rPr>
        <w:t>运营管理能力展示。</w:t>
      </w:r>
    </w:p>
    <w:p>
      <w:pPr>
        <w:ind w:firstLine="560" w:firstLineChars="200"/>
        <w:rPr>
          <w:rFonts w:ascii="仿宋" w:hAnsi="仿宋" w:eastAsia="仿宋" w:cs="仿宋"/>
          <w:sz w:val="28"/>
        </w:rPr>
      </w:pPr>
      <w:r>
        <w:rPr>
          <w:rFonts w:hint="eastAsia" w:ascii="仿宋" w:hAnsi="仿宋" w:eastAsia="仿宋" w:cs="仿宋"/>
          <w:sz w:val="28"/>
          <w:lang w:val="en-US" w:eastAsia="zh-CN"/>
        </w:rPr>
        <w:t>4</w:t>
      </w:r>
      <w:r>
        <w:rPr>
          <w:rFonts w:hint="eastAsia" w:ascii="仿宋" w:hAnsi="仿宋" w:eastAsia="仿宋" w:cs="仿宋"/>
          <w:sz w:val="28"/>
        </w:rPr>
        <w:t>.</w:t>
      </w:r>
      <w:r>
        <w:rPr>
          <w:rFonts w:ascii="仿宋" w:hAnsi="仿宋" w:eastAsia="仿宋" w:cs="仿宋"/>
          <w:sz w:val="28"/>
        </w:rPr>
        <w:t>业绩展示。</w:t>
      </w:r>
    </w:p>
    <w:p>
      <w:pPr>
        <w:ind w:firstLine="560" w:firstLineChars="200"/>
        <w:rPr>
          <w:rFonts w:ascii="仿宋" w:hAnsi="仿宋" w:eastAsia="仿宋" w:cs="仿宋"/>
          <w:sz w:val="28"/>
        </w:rPr>
      </w:pPr>
      <w:r>
        <w:rPr>
          <w:rFonts w:hint="eastAsia" w:ascii="仿宋" w:hAnsi="仿宋" w:eastAsia="仿宋" w:cs="仿宋"/>
          <w:sz w:val="28"/>
          <w:lang w:val="en-US" w:eastAsia="zh-CN"/>
        </w:rPr>
        <w:t>5</w:t>
      </w:r>
      <w:r>
        <w:rPr>
          <w:rFonts w:hint="eastAsia" w:ascii="仿宋" w:hAnsi="仿宋" w:eastAsia="仿宋" w:cs="仿宋"/>
          <w:sz w:val="28"/>
        </w:rPr>
        <w:t>.技术创新能力</w:t>
      </w:r>
      <w:r>
        <w:rPr>
          <w:rFonts w:hint="eastAsia" w:ascii="仿宋" w:hAnsi="仿宋" w:eastAsia="仿宋" w:cs="仿宋"/>
          <w:sz w:val="28"/>
          <w:lang w:eastAsia="zh-CN"/>
        </w:rPr>
        <w:t>以及</w:t>
      </w:r>
      <w:r>
        <w:rPr>
          <w:rFonts w:ascii="仿宋" w:hAnsi="仿宋" w:eastAsia="仿宋" w:cs="仿宋"/>
          <w:sz w:val="28"/>
        </w:rPr>
        <w:t>科研学术支持。</w:t>
      </w:r>
    </w:p>
    <w:p>
      <w:pPr>
        <w:ind w:firstLine="560" w:firstLineChars="200"/>
        <w:rPr>
          <w:rFonts w:ascii="仿宋" w:hAnsi="仿宋" w:eastAsia="仿宋" w:cs="仿宋"/>
          <w:sz w:val="28"/>
        </w:rPr>
      </w:pPr>
      <w:r>
        <w:rPr>
          <w:rFonts w:hint="eastAsia" w:ascii="仿宋" w:hAnsi="仿宋" w:eastAsia="仿宋" w:cs="仿宋"/>
          <w:sz w:val="28"/>
          <w:lang w:val="en-US" w:eastAsia="zh-CN"/>
        </w:rPr>
        <w:t>6.</w:t>
      </w:r>
      <w:r>
        <w:rPr>
          <w:rFonts w:ascii="仿宋" w:hAnsi="仿宋" w:eastAsia="仿宋" w:cs="仿宋"/>
          <w:sz w:val="28"/>
        </w:rPr>
        <w:t>应急保障措施。</w:t>
      </w:r>
    </w:p>
    <w:p>
      <w:pPr>
        <w:ind w:firstLine="560" w:firstLineChars="200"/>
        <w:rPr>
          <w:rFonts w:hint="eastAsia" w:ascii="仿宋" w:hAnsi="仿宋" w:eastAsia="仿宋" w:cs="仿宋"/>
          <w:sz w:val="28"/>
          <w:lang w:val="en-US" w:eastAsia="zh-CN"/>
        </w:rPr>
      </w:pPr>
      <w:r>
        <w:rPr>
          <w:rFonts w:hint="eastAsia" w:ascii="仿宋" w:hAnsi="仿宋" w:eastAsia="仿宋" w:cs="仿宋"/>
          <w:sz w:val="28"/>
          <w:lang w:val="en-US" w:eastAsia="zh-CN"/>
        </w:rPr>
        <w:t>7.</w:t>
      </w:r>
      <w:r>
        <w:rPr>
          <w:rFonts w:hint="eastAsia" w:ascii="仿宋" w:hAnsi="仿宋" w:eastAsia="仿宋" w:cs="仿宋"/>
          <w:sz w:val="28"/>
          <w:lang w:eastAsia="zh-CN"/>
        </w:rPr>
        <w:t>投诉处理措施。</w:t>
      </w:r>
    </w:p>
    <w:p>
      <w:pPr>
        <w:rPr>
          <w:rFonts w:ascii="仿宋" w:hAnsi="仿宋" w:eastAsia="仿宋" w:cs="仿宋"/>
          <w:sz w:val="32"/>
        </w:rPr>
      </w:pPr>
    </w:p>
    <w:p>
      <w:pPr>
        <w:rPr>
          <w:rFonts w:ascii="仿宋" w:hAnsi="仿宋" w:eastAsia="仿宋" w:cs="仿宋"/>
          <w:sz w:val="32"/>
        </w:rPr>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ind w:left="0" w:leftChars="0" w:firstLine="0" w:firstLineChars="0"/>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3</w:t>
      </w:r>
      <w:r>
        <w:rPr>
          <w:rFonts w:ascii="仿宋" w:hAnsi="仿宋" w:eastAsia="仿宋"/>
          <w:sz w:val="28"/>
          <w:szCs w:val="28"/>
        </w:rPr>
        <w:t>：</w:t>
      </w:r>
    </w:p>
    <w:p>
      <w:pPr>
        <w:adjustRightInd w:val="0"/>
        <w:snapToGrid w:val="0"/>
        <w:spacing w:line="480" w:lineRule="auto"/>
        <w:ind w:firstLine="3219" w:firstLineChars="1002"/>
        <w:rPr>
          <w:rFonts w:hint="eastAsia" w:ascii="仿宋" w:hAnsi="仿宋" w:eastAsia="仿宋" w:cstheme="minorBidi"/>
          <w:b/>
          <w:spacing w:val="0"/>
          <w:sz w:val="32"/>
          <w:szCs w:val="28"/>
          <w:lang w:eastAsia="zh-CN"/>
        </w:rPr>
      </w:pPr>
      <w:r>
        <w:rPr>
          <w:rFonts w:hint="eastAsia" w:ascii="仿宋" w:hAnsi="仿宋" w:eastAsia="仿宋" w:cstheme="minorBidi"/>
          <w:b/>
          <w:spacing w:val="0"/>
          <w:sz w:val="32"/>
          <w:szCs w:val="28"/>
          <w:lang w:eastAsia="zh-CN"/>
        </w:rPr>
        <w:t>报价表</w:t>
      </w:r>
    </w:p>
    <w:p/>
    <w:tbl>
      <w:tblPr>
        <w:tblStyle w:val="15"/>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2912"/>
        <w:gridCol w:w="3066"/>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910" w:type="dxa"/>
            <w:vAlign w:val="center"/>
          </w:tcPr>
          <w:p>
            <w:pPr>
              <w:topLinePunct/>
              <w:adjustRightInd w:val="0"/>
              <w:spacing w:line="360" w:lineRule="auto"/>
              <w:jc w:val="center"/>
              <w:rPr>
                <w:rFonts w:hint="eastAsia" w:ascii="黑体" w:hAnsi="黑体" w:eastAsia="黑体" w:cs="黑体"/>
                <w:color w:val="000000"/>
                <w:szCs w:val="24"/>
                <w:lang w:eastAsia="zh-CN"/>
              </w:rPr>
            </w:pPr>
            <w:r>
              <w:rPr>
                <w:rFonts w:hint="eastAsia" w:ascii="黑体" w:hAnsi="黑体" w:eastAsia="黑体" w:cs="黑体"/>
                <w:color w:val="000000"/>
                <w:szCs w:val="24"/>
                <w:lang w:eastAsia="zh-CN"/>
              </w:rPr>
              <w:t>序号</w:t>
            </w:r>
          </w:p>
        </w:tc>
        <w:tc>
          <w:tcPr>
            <w:tcW w:w="2912" w:type="dxa"/>
            <w:vAlign w:val="center"/>
          </w:tcPr>
          <w:p>
            <w:pPr>
              <w:topLinePunct/>
              <w:adjustRightInd w:val="0"/>
              <w:spacing w:line="360" w:lineRule="auto"/>
              <w:jc w:val="center"/>
              <w:rPr>
                <w:rFonts w:ascii="黑体" w:hAnsi="黑体" w:eastAsia="黑体" w:cs="黑体"/>
                <w:color w:val="000000"/>
                <w:szCs w:val="24"/>
              </w:rPr>
            </w:pPr>
            <w:r>
              <w:rPr>
                <w:rFonts w:hint="eastAsia" w:ascii="黑体" w:hAnsi="黑体" w:eastAsia="黑体" w:cs="黑体"/>
                <w:color w:val="000000"/>
                <w:szCs w:val="24"/>
              </w:rPr>
              <w:t>报价项目</w:t>
            </w:r>
          </w:p>
        </w:tc>
        <w:tc>
          <w:tcPr>
            <w:tcW w:w="3066" w:type="dxa"/>
            <w:vAlign w:val="center"/>
          </w:tcPr>
          <w:p>
            <w:pPr>
              <w:topLinePunct/>
              <w:adjustRightInd w:val="0"/>
              <w:spacing w:line="360" w:lineRule="auto"/>
              <w:jc w:val="center"/>
              <w:rPr>
                <w:rFonts w:ascii="黑体" w:hAnsi="黑体" w:eastAsia="黑体" w:cs="黑体"/>
                <w:color w:val="000000"/>
                <w:szCs w:val="24"/>
              </w:rPr>
            </w:pPr>
            <w:r>
              <w:rPr>
                <w:rFonts w:hint="eastAsia" w:ascii="黑体" w:hAnsi="黑体" w:eastAsia="黑体" w:cs="黑体"/>
                <w:color w:val="000000"/>
                <w:szCs w:val="24"/>
              </w:rPr>
              <w:t>报价</w:t>
            </w:r>
          </w:p>
        </w:tc>
        <w:tc>
          <w:tcPr>
            <w:tcW w:w="2281" w:type="dxa"/>
            <w:vAlign w:val="center"/>
          </w:tcPr>
          <w:p>
            <w:pPr>
              <w:topLinePunct/>
              <w:adjustRightInd w:val="0"/>
              <w:spacing w:line="360" w:lineRule="auto"/>
              <w:jc w:val="center"/>
              <w:rPr>
                <w:rFonts w:ascii="黑体" w:hAnsi="黑体" w:eastAsia="黑体" w:cs="黑体"/>
                <w:color w:val="000000"/>
                <w:szCs w:val="24"/>
              </w:rPr>
            </w:pPr>
            <w:r>
              <w:rPr>
                <w:rFonts w:hint="eastAsia" w:ascii="黑体" w:hAnsi="黑体" w:eastAsia="黑体" w:cs="黑体"/>
                <w:color w:val="000000"/>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910" w:type="dxa"/>
            <w:vAlign w:val="center"/>
          </w:tcPr>
          <w:p>
            <w:pPr>
              <w:topLinePunct/>
              <w:adjustRightInd w:val="0"/>
              <w:spacing w:line="360" w:lineRule="auto"/>
              <w:jc w:val="center"/>
              <w:rPr>
                <w:rFonts w:hint="eastAsia" w:asciiTheme="minorEastAsia" w:hAnsiTheme="minorEastAsia" w:eastAsiaTheme="minorEastAsia" w:cstheme="minorEastAsia"/>
                <w:color w:val="000000"/>
                <w:sz w:val="22"/>
                <w:szCs w:val="24"/>
                <w:lang w:val="en-US" w:eastAsia="zh-CN"/>
              </w:rPr>
            </w:pPr>
            <w:r>
              <w:rPr>
                <w:rFonts w:hint="eastAsia" w:asciiTheme="minorEastAsia" w:hAnsiTheme="minorEastAsia" w:cstheme="minorEastAsia"/>
                <w:color w:val="000000"/>
                <w:sz w:val="22"/>
                <w:szCs w:val="24"/>
                <w:lang w:val="en-US" w:eastAsia="zh-CN"/>
              </w:rPr>
              <w:t>1</w:t>
            </w:r>
          </w:p>
        </w:tc>
        <w:tc>
          <w:tcPr>
            <w:tcW w:w="2912" w:type="dxa"/>
            <w:vAlign w:val="center"/>
          </w:tcPr>
          <w:p>
            <w:pPr>
              <w:topLinePunct/>
              <w:adjustRightInd w:val="0"/>
              <w:spacing w:line="360" w:lineRule="auto"/>
              <w:jc w:val="center"/>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项目合作费用：</w:t>
            </w:r>
          </w:p>
          <w:p>
            <w:pPr>
              <w:topLinePunct/>
              <w:adjustRightInd w:val="0"/>
              <w:spacing w:line="360" w:lineRule="auto"/>
              <w:jc w:val="center"/>
              <w:rPr>
                <w:rFonts w:hint="default" w:asciiTheme="minorEastAsia" w:hAnsiTheme="minorEastAsia" w:eastAsiaTheme="minorEastAsia" w:cstheme="minorEastAsia"/>
                <w:color w:val="000000"/>
                <w:kern w:val="2"/>
                <w:sz w:val="22"/>
                <w:szCs w:val="24"/>
                <w:lang w:val="en-US" w:eastAsia="zh-CN" w:bidi="ar-SA"/>
              </w:rPr>
            </w:pPr>
            <w:r>
              <w:rPr>
                <w:rFonts w:hint="eastAsia" w:ascii="仿宋" w:hAnsi="仿宋" w:eastAsia="仿宋"/>
                <w:sz w:val="24"/>
                <w:szCs w:val="24"/>
                <w:highlight w:val="none"/>
                <w:lang w:val="en-US" w:eastAsia="zh-CN"/>
              </w:rPr>
              <w:t>医疗服务项目收费标准的</w:t>
            </w:r>
            <w:r>
              <w:rPr>
                <w:rFonts w:hint="eastAsia" w:ascii="仿宋" w:hAnsi="仿宋" w:eastAsia="仿宋"/>
                <w:sz w:val="24"/>
                <w:szCs w:val="24"/>
                <w:highlight w:val="none"/>
                <w:u w:val="single"/>
                <w:lang w:val="en-US" w:eastAsia="zh-CN"/>
              </w:rPr>
              <w:t xml:space="preserve">    %</w:t>
            </w:r>
          </w:p>
        </w:tc>
        <w:tc>
          <w:tcPr>
            <w:tcW w:w="3066" w:type="dxa"/>
            <w:vAlign w:val="center"/>
          </w:tcPr>
          <w:p>
            <w:pPr>
              <w:topLinePunct/>
              <w:adjustRightInd w:val="0"/>
              <w:spacing w:line="360" w:lineRule="auto"/>
              <w:ind w:firstLine="420" w:firstLineChars="0"/>
              <w:jc w:val="center"/>
              <w:rPr>
                <w:rFonts w:asciiTheme="minorEastAsia" w:hAnsiTheme="minorEastAsia" w:eastAsiaTheme="minorEastAsia" w:cstheme="minorEastAsia"/>
                <w:color w:val="000000"/>
                <w:kern w:val="2"/>
                <w:sz w:val="22"/>
                <w:szCs w:val="24"/>
                <w:lang w:val="en-US" w:eastAsia="zh-CN" w:bidi="ar-SA"/>
              </w:rPr>
            </w:pPr>
          </w:p>
        </w:tc>
        <w:tc>
          <w:tcPr>
            <w:tcW w:w="2281" w:type="dxa"/>
            <w:vAlign w:val="center"/>
          </w:tcPr>
          <w:p>
            <w:pPr>
              <w:topLinePunct/>
              <w:adjustRightInd w:val="0"/>
              <w:spacing w:line="360" w:lineRule="auto"/>
              <w:jc w:val="center"/>
              <w:rPr>
                <w:rFonts w:hint="eastAsia" w:asciiTheme="minorEastAsia" w:hAnsiTheme="minorEastAsia" w:eastAsiaTheme="minorEastAsia" w:cstheme="minorEastAsia"/>
                <w:color w:val="000000"/>
                <w:kern w:val="2"/>
                <w:sz w:val="22"/>
                <w:szCs w:val="24"/>
                <w:lang w:val="en-US" w:eastAsia="zh-CN" w:bidi="ar-SA"/>
              </w:rPr>
            </w:pPr>
            <w:r>
              <w:rPr>
                <w:rFonts w:hint="eastAsia" w:ascii="仿宋" w:hAnsi="仿宋" w:eastAsia="仿宋"/>
                <w:sz w:val="24"/>
                <w:szCs w:val="24"/>
                <w:highlight w:val="none"/>
                <w:lang w:val="en-US" w:eastAsia="zh-CN"/>
              </w:rPr>
              <w:t>项目合作费用为参选机构定期与我院结算的费用</w:t>
            </w:r>
          </w:p>
        </w:tc>
      </w:tr>
    </w:tbl>
    <w:p>
      <w:pPr>
        <w:pStyle w:val="4"/>
      </w:pP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仿宋" w:hAnsi="仿宋" w:eastAsia="仿宋" w:cs="仿宋"/>
          <w:color w:val="auto"/>
          <w:sz w:val="24"/>
          <w:szCs w:val="21"/>
          <w:highlight w:val="none"/>
          <w:vertAlign w:val="baseline"/>
          <w:lang w:val="en-US" w:eastAsia="zh-CN"/>
        </w:rPr>
      </w:pPr>
      <w:r>
        <w:rPr>
          <w:rFonts w:hint="eastAsia" w:ascii="仿宋" w:hAnsi="仿宋" w:eastAsia="仿宋"/>
          <w:color w:val="auto"/>
          <w:sz w:val="24"/>
          <w:szCs w:val="24"/>
        </w:rPr>
        <w:t>备注：</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仿宋" w:hAnsi="仿宋" w:eastAsia="仿宋" w:cs="仿宋"/>
          <w:color w:val="auto"/>
          <w:sz w:val="24"/>
          <w:szCs w:val="21"/>
          <w:highlight w:val="none"/>
          <w:vertAlign w:val="baseline"/>
          <w:lang w:val="en-US" w:eastAsia="zh-CN"/>
        </w:rPr>
      </w:pPr>
      <w:r>
        <w:rPr>
          <w:rFonts w:hint="eastAsia" w:ascii="仿宋" w:hAnsi="仿宋" w:eastAsia="仿宋" w:cs="仿宋"/>
          <w:color w:val="auto"/>
          <w:spacing w:val="-6"/>
          <w:sz w:val="24"/>
          <w:szCs w:val="21"/>
          <w:highlight w:val="none"/>
          <w:vertAlign w:val="baseline"/>
          <w:lang w:val="en-US" w:eastAsia="zh-CN"/>
        </w:rPr>
        <w:t>1.“报价表”为多页的，每页均需由法定代表人或授权代表签字并盖参选机构鲜章。</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仿宋" w:hAnsi="仿宋" w:eastAsia="仿宋" w:cs="仿宋"/>
          <w:color w:val="auto"/>
          <w:sz w:val="24"/>
          <w:szCs w:val="21"/>
          <w:highlight w:val="none"/>
          <w:vertAlign w:val="baseline"/>
          <w:lang w:val="en-US" w:eastAsia="zh-CN"/>
        </w:rPr>
      </w:pPr>
      <w:r>
        <w:rPr>
          <w:rFonts w:hint="eastAsia" w:ascii="仿宋" w:hAnsi="仿宋" w:eastAsia="仿宋" w:cs="仿宋"/>
          <w:color w:val="auto"/>
          <w:sz w:val="24"/>
          <w:szCs w:val="21"/>
          <w:highlight w:val="none"/>
          <w:vertAlign w:val="baseline"/>
          <w:lang w:val="en-US" w:eastAsia="zh-CN"/>
        </w:rPr>
        <w:t>2.报价包括完成本项目所涉及的人工劳务、设备投入、材料、知识产权、利润、风险、税金等一切费用。</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仿宋" w:hAnsi="仿宋" w:eastAsia="仿宋" w:cs="仿宋"/>
          <w:color w:val="auto"/>
          <w:sz w:val="24"/>
          <w:szCs w:val="21"/>
          <w:highlight w:val="none"/>
          <w:vertAlign w:val="baseline"/>
          <w:lang w:val="en-US" w:eastAsia="zh-CN"/>
        </w:rPr>
      </w:pPr>
      <w:r>
        <w:rPr>
          <w:rFonts w:hint="eastAsia" w:ascii="仿宋" w:hAnsi="仿宋" w:eastAsia="仿宋"/>
          <w:sz w:val="24"/>
          <w:szCs w:val="24"/>
          <w:highlight w:val="none"/>
          <w:lang w:val="en-US" w:eastAsia="zh-CN"/>
        </w:rPr>
        <w:t>3.医疗服务项目收费标准见附件10。</w:t>
      </w:r>
    </w:p>
    <w:p>
      <w:pPr>
        <w:rPr>
          <w:rFonts w:hint="eastAsia" w:ascii="仿宋" w:hAnsi="仿宋" w:eastAsia="仿宋" w:cs="仿宋"/>
          <w:color w:val="auto"/>
          <w:sz w:val="24"/>
          <w:szCs w:val="21"/>
          <w:highlight w:val="none"/>
          <w:vertAlign w:val="baseline"/>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lang w:val="en-US" w:eastAsia="zh-CN"/>
        </w:rPr>
        <w:t>4</w:t>
      </w:r>
      <w:r>
        <w:rPr>
          <w:rFonts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参选方案文件书装订顺序</w:t>
      </w:r>
    </w:p>
    <w:p>
      <w:pPr>
        <w:ind w:firstLine="618" w:firstLineChars="221"/>
        <w:rPr>
          <w:rFonts w:ascii="仿宋" w:hAnsi="仿宋" w:eastAsia="仿宋"/>
          <w:sz w:val="28"/>
          <w:szCs w:val="28"/>
        </w:rPr>
      </w:pPr>
    </w:p>
    <w:p>
      <w:pPr>
        <w:ind w:firstLine="618" w:firstLineChars="221"/>
        <w:rPr>
          <w:rFonts w:hint="eastAsia" w:ascii="仿宋" w:hAnsi="仿宋" w:eastAsia="仿宋"/>
          <w:sz w:val="28"/>
          <w:szCs w:val="28"/>
          <w:lang w:eastAsia="zh-CN"/>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封面（</w:t>
      </w:r>
      <w:r>
        <w:rPr>
          <w:rFonts w:hint="eastAsia" w:ascii="仿宋" w:hAnsi="仿宋" w:eastAsia="仿宋"/>
          <w:sz w:val="28"/>
          <w:szCs w:val="28"/>
        </w:rPr>
        <w:t>注明</w:t>
      </w:r>
      <w:r>
        <w:rPr>
          <w:rFonts w:hint="eastAsia" w:ascii="仿宋" w:hAnsi="仿宋" w:eastAsia="仿宋"/>
          <w:b/>
          <w:sz w:val="28"/>
          <w:szCs w:val="28"/>
        </w:rPr>
        <w:t>项目名称及包号</w:t>
      </w:r>
      <w:r>
        <w:rPr>
          <w:rFonts w:hint="eastAsia" w:ascii="仿宋" w:hAnsi="仿宋" w:eastAsia="仿宋"/>
          <w:sz w:val="28"/>
          <w:szCs w:val="28"/>
        </w:rPr>
        <w:t>、公司名称</w:t>
      </w:r>
      <w:r>
        <w:rPr>
          <w:rFonts w:ascii="仿宋" w:hAnsi="仿宋" w:eastAsia="仿宋"/>
          <w:sz w:val="28"/>
          <w:szCs w:val="28"/>
        </w:rPr>
        <w:t>、联系人、联系</w:t>
      </w:r>
      <w:r>
        <w:rPr>
          <w:rFonts w:hint="eastAsia" w:ascii="仿宋" w:hAnsi="仿宋" w:eastAsia="仿宋"/>
          <w:sz w:val="28"/>
          <w:szCs w:val="28"/>
        </w:rPr>
        <w:t>电话、加盖公司印章</w:t>
      </w:r>
      <w:r>
        <w:rPr>
          <w:rFonts w:ascii="仿宋" w:hAnsi="仿宋" w:eastAsia="仿宋"/>
          <w:sz w:val="28"/>
          <w:szCs w:val="28"/>
        </w:rPr>
        <w:t>）</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目录</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3.有效的资质证</w:t>
      </w:r>
      <w:r>
        <w:rPr>
          <w:rFonts w:hint="eastAsia" w:ascii="仿宋" w:hAnsi="仿宋" w:eastAsia="仿宋"/>
          <w:sz w:val="28"/>
          <w:szCs w:val="28"/>
          <w:lang w:val="en-US" w:eastAsia="zh-CN"/>
        </w:rPr>
        <w:t>明</w:t>
      </w:r>
      <w:r>
        <w:rPr>
          <w:rFonts w:hint="eastAsia" w:ascii="仿宋" w:hAnsi="仿宋" w:eastAsia="仿宋"/>
          <w:sz w:val="28"/>
          <w:szCs w:val="28"/>
        </w:rPr>
        <w:t>文件（</w:t>
      </w:r>
      <w:r>
        <w:rPr>
          <w:rFonts w:hint="eastAsia" w:ascii="仿宋" w:hAnsi="仿宋" w:eastAsia="仿宋"/>
          <w:sz w:val="28"/>
          <w:szCs w:val="28"/>
          <w:lang w:val="en-US" w:eastAsia="zh-CN"/>
        </w:rPr>
        <w:t>按附件1 三、资质要求 顺序装订</w:t>
      </w:r>
      <w:r>
        <w:rPr>
          <w:rFonts w:hint="eastAsia" w:ascii="仿宋" w:hAnsi="仿宋" w:eastAsia="仿宋"/>
          <w:sz w:val="28"/>
          <w:szCs w:val="28"/>
        </w:rPr>
        <w:t>）</w:t>
      </w:r>
      <w:r>
        <w:rPr>
          <w:rFonts w:hint="eastAsia" w:ascii="仿宋" w:hAnsi="仿宋" w:eastAsia="仿宋"/>
          <w:sz w:val="28"/>
          <w:szCs w:val="28"/>
          <w:lang w:eastAsia="zh-CN"/>
        </w:rPr>
        <w:t>。</w:t>
      </w:r>
    </w:p>
    <w:p>
      <w:pPr>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val="en-US" w:eastAsia="zh-CN"/>
        </w:rPr>
        <w:t>4</w:t>
      </w:r>
      <w:r>
        <w:rPr>
          <w:rFonts w:hint="eastAsia" w:ascii="仿宋" w:hAnsi="仿宋" w:eastAsia="仿宋"/>
          <w:sz w:val="28"/>
          <w:szCs w:val="28"/>
        </w:rPr>
        <w:t>.</w:t>
      </w:r>
      <w:r>
        <w:rPr>
          <w:rFonts w:ascii="仿宋" w:hAnsi="仿宋" w:eastAsia="仿宋"/>
          <w:color w:val="000000" w:themeColor="text1"/>
          <w:sz w:val="28"/>
          <w:szCs w:val="28"/>
          <w14:textFill>
            <w14:solidFill>
              <w14:schemeClr w14:val="tx1"/>
            </w14:solidFill>
          </w14:textFill>
        </w:rPr>
        <w:t>偏离表（格式见附件</w:t>
      </w:r>
      <w:r>
        <w:rPr>
          <w:rFonts w:hint="eastAsia" w:ascii="仿宋" w:hAnsi="仿宋" w:eastAsia="仿宋"/>
          <w:color w:val="000000" w:themeColor="text1"/>
          <w:sz w:val="28"/>
          <w:szCs w:val="28"/>
          <w:lang w:val="en-US" w:eastAsia="zh-CN"/>
          <w14:textFill>
            <w14:solidFill>
              <w14:schemeClr w14:val="tx1"/>
            </w14:solidFill>
          </w14:textFill>
        </w:rPr>
        <w:t>5</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w:t>
      </w:r>
    </w:p>
    <w:p>
      <w:pPr>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5.偏离表响应内容承诺函或证明材料（按附件1</w:t>
      </w:r>
      <w:r>
        <w:rPr>
          <w:rFonts w:hint="eastAsia" w:ascii="仿宋" w:hAnsi="仿宋" w:eastAsia="仿宋"/>
          <w:color w:val="000000" w:themeColor="text1"/>
          <w:sz w:val="28"/>
          <w:szCs w:val="28"/>
          <w:lang w:val="en-US" w:eastAsia="zh-CN"/>
          <w14:textFill>
            <w14:solidFill>
              <w14:schemeClr w14:val="tx1"/>
            </w14:solidFill>
          </w14:textFill>
        </w:rPr>
        <w:t xml:space="preserve"> 四、</w:t>
      </w:r>
      <w:r>
        <w:rPr>
          <w:rFonts w:hint="eastAsia" w:ascii="仿宋" w:hAnsi="仿宋" w:eastAsia="仿宋"/>
          <w:color w:val="000000" w:themeColor="text1"/>
          <w:sz w:val="28"/>
          <w:szCs w:val="28"/>
          <w:lang w:eastAsia="zh-CN"/>
          <w14:textFill>
            <w14:solidFill>
              <w14:schemeClr w14:val="tx1"/>
            </w14:solidFill>
          </w14:textFill>
        </w:rPr>
        <w:t>技术服务要求</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顺序装订）。</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6</w:t>
      </w:r>
      <w:r>
        <w:rPr>
          <w:rFonts w:hint="eastAsia" w:ascii="仿宋" w:hAnsi="仿宋" w:eastAsia="仿宋"/>
          <w:sz w:val="28"/>
          <w:szCs w:val="28"/>
        </w:rPr>
        <w:t>.参选机构基本情况及其他证明文件等</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7</w:t>
      </w:r>
      <w:r>
        <w:rPr>
          <w:rFonts w:hint="eastAsia" w:ascii="仿宋" w:hAnsi="仿宋" w:eastAsia="仿宋"/>
          <w:sz w:val="28"/>
          <w:szCs w:val="28"/>
        </w:rPr>
        <w:t>.合作方案（格式见附件</w:t>
      </w: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8.报价表</w:t>
      </w:r>
      <w:r>
        <w:rPr>
          <w:rFonts w:hint="eastAsia" w:ascii="仿宋" w:hAnsi="仿宋" w:eastAsia="仿宋"/>
          <w:sz w:val="28"/>
          <w:szCs w:val="28"/>
        </w:rPr>
        <w:t>（格式见附件</w:t>
      </w:r>
      <w:r>
        <w:rPr>
          <w:rFonts w:hint="eastAsia" w:ascii="仿宋" w:hAnsi="仿宋" w:eastAsia="仿宋"/>
          <w:sz w:val="28"/>
          <w:szCs w:val="28"/>
          <w:lang w:val="en-US" w:eastAsia="zh-CN"/>
        </w:rPr>
        <w:t>3</w:t>
      </w:r>
      <w:r>
        <w:rPr>
          <w:rFonts w:hint="eastAsia" w:ascii="仿宋" w:hAnsi="仿宋" w:eastAsia="仿宋"/>
          <w:sz w:val="28"/>
          <w:szCs w:val="28"/>
        </w:rPr>
        <w:t>）</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9</w:t>
      </w:r>
      <w:r>
        <w:rPr>
          <w:rFonts w:hint="eastAsia" w:ascii="仿宋" w:hAnsi="仿宋" w:eastAsia="仿宋"/>
          <w:sz w:val="28"/>
          <w:szCs w:val="28"/>
        </w:rPr>
        <w:t>.封底</w:t>
      </w:r>
      <w:r>
        <w:rPr>
          <w:rFonts w:hint="eastAsia" w:ascii="仿宋" w:hAnsi="仿宋" w:eastAsia="仿宋"/>
          <w:sz w:val="28"/>
          <w:szCs w:val="28"/>
          <w:lang w:eastAsia="zh-CN"/>
        </w:rPr>
        <w:t>。</w:t>
      </w:r>
    </w:p>
    <w:p>
      <w:pPr>
        <w:ind w:firstLine="560" w:firstLineChars="200"/>
        <w:rPr>
          <w:rFonts w:hint="eastAsia" w:ascii="仿宋" w:hAnsi="仿宋" w:eastAsia="仿宋"/>
          <w:sz w:val="28"/>
          <w:szCs w:val="28"/>
        </w:rPr>
      </w:pPr>
      <w:r>
        <w:rPr>
          <w:rFonts w:hint="eastAsia" w:ascii="仿宋" w:hAnsi="仿宋" w:eastAsia="仿宋"/>
          <w:sz w:val="28"/>
          <w:szCs w:val="28"/>
        </w:rPr>
        <w:t>注：请务必按以上顺序装订资料，如有非中文资料，请同时提供中文翻译件。</w:t>
      </w:r>
    </w:p>
    <w:p>
      <w:pPr>
        <w:ind w:firstLine="560" w:firstLineChars="200"/>
        <w:rPr>
          <w:rFonts w:hint="eastAsia" w:ascii="仿宋" w:hAnsi="仿宋" w:eastAsia="仿宋"/>
          <w:sz w:val="28"/>
          <w:szCs w:val="28"/>
        </w:rPr>
      </w:pPr>
    </w:p>
    <w:p>
      <w:pPr>
        <w:rPr>
          <w:rFonts w:ascii="仿宋" w:hAnsi="仿宋" w:eastAsia="仿宋"/>
          <w:sz w:val="28"/>
          <w:szCs w:val="28"/>
        </w:rPr>
      </w:pPr>
    </w:p>
    <w:p>
      <w:pPr>
        <w:pStyle w:val="4"/>
        <w:rPr>
          <w:rFonts w:ascii="仿宋" w:hAnsi="仿宋" w:eastAsia="仿宋"/>
          <w:sz w:val="28"/>
          <w:szCs w:val="28"/>
        </w:rPr>
      </w:pPr>
    </w:p>
    <w:p>
      <w:pPr>
        <w:pStyle w:val="4"/>
        <w:rPr>
          <w:rFonts w:ascii="仿宋" w:hAnsi="仿宋" w:eastAsia="仿宋"/>
          <w:sz w:val="28"/>
          <w:szCs w:val="28"/>
        </w:rPr>
      </w:pPr>
    </w:p>
    <w:p>
      <w:pPr>
        <w:pStyle w:val="4"/>
        <w:rPr>
          <w:rFonts w:ascii="仿宋" w:hAnsi="仿宋" w:eastAsia="仿宋"/>
          <w:sz w:val="28"/>
          <w:szCs w:val="28"/>
        </w:rPr>
      </w:pPr>
    </w:p>
    <w:p>
      <w:pPr>
        <w:pStyle w:val="4"/>
        <w:rPr>
          <w:rFonts w:ascii="仿宋" w:hAnsi="仿宋" w:eastAsia="仿宋"/>
          <w:sz w:val="28"/>
          <w:szCs w:val="28"/>
        </w:rPr>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lang w:val="en-US" w:eastAsia="zh-CN"/>
        </w:rPr>
        <w:t>5</w:t>
      </w:r>
      <w:r>
        <w:rPr>
          <w:rFonts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偏离表</w:t>
      </w:r>
    </w:p>
    <w:tbl>
      <w:tblPr>
        <w:tblStyle w:val="15"/>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51"/>
        <w:gridCol w:w="2300"/>
        <w:gridCol w:w="2300"/>
        <w:gridCol w:w="287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序号</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hint="eastAsia" w:ascii="黑体" w:hAnsi="宋体" w:eastAsia="黑体"/>
                <w:szCs w:val="21"/>
                <w:lang w:eastAsia="zh-CN"/>
              </w:rPr>
              <w:t>比选</w:t>
            </w:r>
            <w:r>
              <w:rPr>
                <w:rFonts w:ascii="黑体" w:hAnsi="宋体" w:eastAsia="黑体"/>
                <w:szCs w:val="21"/>
              </w:rPr>
              <w:t>要求</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响应</w:t>
            </w:r>
            <w:r>
              <w:rPr>
                <w:rFonts w:hint="eastAsia" w:ascii="黑体" w:hAnsi="宋体" w:eastAsia="黑体"/>
                <w:szCs w:val="21"/>
              </w:rPr>
              <w:t>内容</w:t>
            </w:r>
          </w:p>
        </w:tc>
        <w:tc>
          <w:tcPr>
            <w:tcW w:w="351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偏离及其影响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bl>
    <w:p>
      <w:pPr>
        <w:rPr>
          <w:rFonts w:ascii="楷体_GB2312" w:hAnsi="宋体" w:eastAsia="楷体_GB2312"/>
          <w:sz w:val="28"/>
          <w:szCs w:val="28"/>
        </w:rPr>
      </w:pPr>
      <w:r>
        <w:rPr>
          <w:rFonts w:ascii="楷体_GB2312" w:hAnsi="宋体" w:eastAsia="楷体_GB2312"/>
          <w:sz w:val="28"/>
          <w:szCs w:val="28"/>
        </w:rPr>
        <w:t>注：1、此表要求</w:t>
      </w:r>
      <w:r>
        <w:rPr>
          <w:rFonts w:hint="eastAsia" w:ascii="楷体_GB2312" w:hAnsi="宋体" w:eastAsia="楷体_GB2312"/>
          <w:sz w:val="28"/>
          <w:szCs w:val="28"/>
        </w:rPr>
        <w:t>响应内容</w:t>
      </w:r>
      <w:r>
        <w:rPr>
          <w:rFonts w:ascii="楷体_GB2312" w:hAnsi="宋体" w:eastAsia="楷体_GB2312"/>
          <w:sz w:val="28"/>
          <w:szCs w:val="28"/>
        </w:rPr>
        <w:t>与</w:t>
      </w:r>
      <w:r>
        <w:rPr>
          <w:rFonts w:hint="eastAsia" w:ascii="楷体_GB2312" w:hAnsi="宋体" w:eastAsia="楷体_GB2312"/>
          <w:b/>
          <w:bCs/>
          <w:sz w:val="28"/>
          <w:szCs w:val="28"/>
          <w:lang w:eastAsia="zh-CN"/>
        </w:rPr>
        <w:t>“附件</w:t>
      </w:r>
      <w:r>
        <w:rPr>
          <w:rFonts w:hint="eastAsia" w:ascii="楷体_GB2312" w:hAnsi="宋体" w:eastAsia="楷体_GB2312"/>
          <w:b/>
          <w:bCs/>
          <w:sz w:val="28"/>
          <w:szCs w:val="28"/>
          <w:lang w:val="en-US" w:eastAsia="zh-CN"/>
        </w:rPr>
        <w:t>1 四、技术服务要求</w:t>
      </w:r>
      <w:r>
        <w:rPr>
          <w:rFonts w:hint="eastAsia" w:ascii="楷体_GB2312" w:hAnsi="宋体" w:eastAsia="楷体_GB2312"/>
          <w:b/>
          <w:bCs/>
          <w:sz w:val="28"/>
          <w:szCs w:val="28"/>
          <w:lang w:eastAsia="zh-CN"/>
        </w:rPr>
        <w:t>”</w:t>
      </w:r>
      <w:r>
        <w:rPr>
          <w:rFonts w:ascii="楷体_GB2312" w:hAnsi="宋体" w:eastAsia="楷体_GB2312"/>
          <w:sz w:val="28"/>
          <w:szCs w:val="28"/>
        </w:rPr>
        <w:t>一一对应、逐一列出</w:t>
      </w:r>
      <w:r>
        <w:rPr>
          <w:rFonts w:hint="eastAsia" w:ascii="楷体_GB2312" w:hAnsi="宋体" w:eastAsia="楷体_GB2312"/>
          <w:sz w:val="28"/>
          <w:szCs w:val="28"/>
          <w:lang w:val="en-US" w:eastAsia="zh-CN"/>
        </w:rPr>
        <w:t>并附证明材料或承诺函加盖公章</w:t>
      </w:r>
      <w:r>
        <w:rPr>
          <w:rFonts w:ascii="楷体_GB2312" w:hAnsi="宋体" w:eastAsia="楷体_GB2312"/>
          <w:sz w:val="28"/>
          <w:szCs w:val="28"/>
        </w:rPr>
        <w:t>；2．</w:t>
      </w:r>
      <w:r>
        <w:rPr>
          <w:rFonts w:hint="eastAsia" w:ascii="楷体_GB2312" w:hAnsi="宋体" w:eastAsia="楷体_GB2312"/>
          <w:sz w:val="28"/>
          <w:szCs w:val="28"/>
        </w:rPr>
        <w:t>据实填写偏离及其影响的内容，</w:t>
      </w:r>
      <w:r>
        <w:rPr>
          <w:rFonts w:ascii="楷体_GB2312" w:hAnsi="宋体" w:eastAsia="楷体_GB2312"/>
          <w:sz w:val="28"/>
          <w:szCs w:val="28"/>
        </w:rPr>
        <w:t>不得虚假响应，否则</w:t>
      </w:r>
      <w:r>
        <w:rPr>
          <w:rFonts w:hint="eastAsia" w:ascii="楷体_GB2312" w:hAnsi="宋体" w:eastAsia="楷体_GB2312"/>
          <w:sz w:val="28"/>
          <w:szCs w:val="28"/>
        </w:rPr>
        <w:t>视为</w:t>
      </w:r>
      <w:r>
        <w:rPr>
          <w:rFonts w:ascii="楷体_GB2312" w:hAnsi="宋体" w:eastAsia="楷体_GB2312"/>
          <w:sz w:val="28"/>
          <w:szCs w:val="28"/>
        </w:rPr>
        <w:t>无效并按规定追究其相关责任。</w:t>
      </w:r>
    </w:p>
    <w:p>
      <w:pPr>
        <w:ind w:firstLine="3360" w:firstLineChars="1050"/>
        <w:rPr>
          <w:rFonts w:ascii="仿宋" w:hAnsi="仿宋" w:eastAsia="仿宋"/>
          <w:sz w:val="32"/>
          <w:szCs w:val="32"/>
        </w:rPr>
      </w:pPr>
    </w:p>
    <w:p>
      <w:pPr>
        <w:ind w:firstLine="4620" w:firstLineChars="1650"/>
        <w:rPr>
          <w:rFonts w:ascii="楷体_GB2312" w:hAnsi="宋体" w:eastAsia="楷体_GB2312"/>
          <w:sz w:val="28"/>
          <w:szCs w:val="28"/>
        </w:rPr>
      </w:pPr>
      <w:r>
        <w:rPr>
          <w:rFonts w:ascii="楷体_GB2312" w:hAnsi="宋体" w:eastAsia="楷体_GB2312"/>
          <w:sz w:val="28"/>
          <w:szCs w:val="28"/>
        </w:rPr>
        <w:t>法定代表人或授权代表签字：</w:t>
      </w:r>
    </w:p>
    <w:p>
      <w:pPr>
        <w:ind w:firstLine="4620" w:firstLineChars="1650"/>
        <w:rPr>
          <w:rFonts w:ascii="楷体_GB2312" w:hAnsi="宋体" w:eastAsia="楷体_GB2312"/>
          <w:sz w:val="28"/>
          <w:szCs w:val="28"/>
        </w:rPr>
      </w:pPr>
      <w:r>
        <w:rPr>
          <w:rFonts w:ascii="楷体_GB2312" w:hAnsi="宋体" w:eastAsia="楷体_GB2312"/>
          <w:sz w:val="28"/>
          <w:szCs w:val="28"/>
        </w:rPr>
        <w:t>日期:</w:t>
      </w: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outlineLvl w:val="0"/>
        <w:rPr>
          <w:rFonts w:hint="eastAsia" w:ascii="仿宋" w:hAnsi="仿宋" w:eastAsia="仿宋"/>
          <w:sz w:val="28"/>
          <w:szCs w:val="28"/>
        </w:rPr>
      </w:pPr>
    </w:p>
    <w:p>
      <w:pPr>
        <w:outlineLvl w:val="0"/>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6</w:t>
      </w:r>
      <w:r>
        <w:rPr>
          <w:rFonts w:hint="eastAsia"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法定代表人身份授权书</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授权声明：</w:t>
      </w:r>
    </w:p>
    <w:p>
      <w:pPr>
        <w:tabs>
          <w:tab w:val="left" w:pos="720"/>
          <w:tab w:val="left" w:pos="6300"/>
        </w:tabs>
        <w:spacing w:line="360" w:lineRule="auto"/>
        <w:rPr>
          <w:rFonts w:ascii="仿宋" w:hAnsi="仿宋" w:eastAsia="仿宋" w:cs="仿宋"/>
          <w:sz w:val="28"/>
          <w:szCs w:val="28"/>
        </w:rPr>
      </w:pPr>
      <w:r>
        <w:rPr>
          <w:rFonts w:hint="eastAsia" w:ascii="仿宋" w:hAnsi="仿宋" w:eastAsia="仿宋" w:cs="仿宋"/>
          <w:sz w:val="28"/>
          <w:szCs w:val="28"/>
        </w:rPr>
        <w:t>（法定代表人姓名、职务）授权（被授权人姓名、职务）为</w:t>
      </w:r>
      <w:r>
        <w:rPr>
          <w:rFonts w:hint="eastAsia" w:ascii="仿宋" w:hAnsi="仿宋" w:eastAsia="仿宋" w:cs="仿宋"/>
          <w:sz w:val="28"/>
          <w:szCs w:val="28"/>
          <w:lang w:val="zh-CN"/>
        </w:rPr>
        <w:t>我方</w:t>
      </w:r>
      <w:r>
        <w:rPr>
          <w:rFonts w:hint="eastAsia" w:ascii="仿宋" w:hAnsi="仿宋" w:eastAsia="仿宋" w:cs="仿宋"/>
          <w:sz w:val="28"/>
          <w:szCs w:val="28"/>
          <w:u w:val="single"/>
          <w:lang w:val="zh-CN"/>
        </w:rPr>
        <w:t xml:space="preserve"> “                                          ”</w:t>
      </w:r>
      <w:r>
        <w:rPr>
          <w:rFonts w:hint="eastAsia" w:ascii="仿宋" w:hAnsi="仿宋" w:eastAsia="仿宋" w:cs="仿宋"/>
          <w:sz w:val="28"/>
          <w:szCs w:val="28"/>
          <w:lang w:val="zh-CN"/>
        </w:rPr>
        <w:t>项目比选活动的合法代表，以我方名义全权处理该项目有关比选、签订合同以及执行合同等一切事宜。</w:t>
      </w:r>
    </w:p>
    <w:p>
      <w:pPr>
        <w:ind w:firstLine="560" w:firstLineChars="200"/>
        <w:rPr>
          <w:rFonts w:ascii="仿宋" w:hAnsi="仿宋" w:eastAsia="仿宋" w:cs="仿宋"/>
          <w:sz w:val="28"/>
          <w:szCs w:val="28"/>
        </w:rPr>
      </w:pPr>
      <w:r>
        <w:rPr>
          <w:rFonts w:hint="eastAsia" w:ascii="仿宋" w:hAnsi="仿宋" w:eastAsia="仿宋" w:cs="仿宋"/>
          <w:sz w:val="28"/>
          <w:szCs w:val="28"/>
        </w:rPr>
        <w:t>特此声明。</w:t>
      </w:r>
    </w:p>
    <w:p>
      <w:pPr>
        <w:ind w:firstLine="560" w:firstLineChars="200"/>
        <w:rPr>
          <w:rFonts w:ascii="仿宋" w:hAnsi="仿宋" w:eastAsia="仿宋" w:cs="仿宋"/>
          <w:sz w:val="28"/>
          <w:szCs w:val="28"/>
        </w:rPr>
      </w:pPr>
      <w:r>
        <w:rPr>
          <w:rFonts w:hint="eastAsia" w:ascii="仿宋" w:hAnsi="仿宋" w:eastAsia="仿宋" w:cs="仿宋"/>
          <w:sz w:val="28"/>
          <w:szCs w:val="28"/>
        </w:rPr>
        <w:t>法定代表人签字：</w:t>
      </w:r>
    </w:p>
    <w:p>
      <w:pPr>
        <w:ind w:firstLine="560" w:firstLineChars="200"/>
        <w:rPr>
          <w:rFonts w:ascii="仿宋" w:hAnsi="仿宋" w:eastAsia="仿宋" w:cs="仿宋"/>
          <w:sz w:val="28"/>
          <w:szCs w:val="28"/>
        </w:rPr>
      </w:pPr>
      <w:r>
        <w:rPr>
          <w:rFonts w:hint="eastAsia" w:ascii="仿宋" w:hAnsi="仿宋" w:eastAsia="仿宋" w:cs="仿宋"/>
          <w:sz w:val="28"/>
          <w:szCs w:val="28"/>
        </w:rPr>
        <w:t>授权代表签字：</w:t>
      </w:r>
    </w:p>
    <w:p>
      <w:pPr>
        <w:ind w:firstLine="560" w:firstLineChars="200"/>
        <w:rPr>
          <w:rFonts w:ascii="仿宋" w:hAnsi="仿宋" w:eastAsia="仿宋" w:cs="仿宋"/>
          <w:sz w:val="28"/>
          <w:szCs w:val="28"/>
        </w:rPr>
      </w:pPr>
      <w:r>
        <w:rPr>
          <w:rFonts w:hint="eastAsia" w:ascii="仿宋" w:hAnsi="仿宋" w:eastAsia="仿宋" w:cs="仿宋"/>
          <w:sz w:val="28"/>
          <w:szCs w:val="28"/>
        </w:rPr>
        <w:t>投标人名称：（加盖公章）</w:t>
      </w:r>
    </w:p>
    <w:p>
      <w:pPr>
        <w:ind w:firstLine="560" w:firstLineChars="200"/>
        <w:rPr>
          <w:rFonts w:ascii="仿宋" w:hAnsi="仿宋" w:eastAsia="仿宋" w:cs="仿宋"/>
          <w:sz w:val="28"/>
          <w:szCs w:val="28"/>
        </w:rPr>
      </w:pPr>
      <w:r>
        <w:rPr>
          <w:rFonts w:hint="eastAsia" w:ascii="仿宋" w:hAnsi="仿宋" w:eastAsia="仿宋" w:cs="仿宋"/>
          <w:sz w:val="28"/>
          <w:szCs w:val="28"/>
        </w:rPr>
        <w:t>日期：</w:t>
      </w:r>
    </w:p>
    <w:p>
      <w:pPr>
        <w:ind w:firstLine="560" w:firstLineChars="200"/>
        <w:rPr>
          <w:rFonts w:ascii="仿宋" w:hAnsi="仿宋" w:eastAsia="仿宋" w:cs="仿宋"/>
          <w:sz w:val="28"/>
          <w:szCs w:val="28"/>
        </w:rPr>
      </w:pPr>
      <w:r>
        <w:rPr>
          <w:rFonts w:hint="eastAsia" w:ascii="仿宋" w:hAnsi="仿宋" w:eastAsia="仿宋" w:cs="仿宋"/>
          <w:sz w:val="28"/>
          <w:szCs w:val="28"/>
        </w:rPr>
        <w:t>说明：上述证明文件附有法定代表人、被授权代表身份证复印件（加盖公章）时才能生效。</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outlineLvl w:val="0"/>
        <w:rPr>
          <w:rFonts w:hint="eastAsia" w:ascii="仿宋" w:hAnsi="仿宋" w:eastAsia="仿宋"/>
          <w:sz w:val="28"/>
          <w:szCs w:val="28"/>
        </w:rPr>
      </w:pPr>
    </w:p>
    <w:p>
      <w:pPr>
        <w:outlineLvl w:val="0"/>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7</w:t>
      </w:r>
      <w:r>
        <w:rPr>
          <w:rFonts w:hint="eastAsia"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反商业贿赂承诺书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为维护卫生行业的整体形象，保证合作的合法开展，维护贵院医疗、管理工作的正常秩序，保障广大患者的健康和利益，本厂家、商家、公司特郑重承诺如下：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一、严格按照《招标投标法》、《药品管理法》、《反不正当竞争法》等有关法律、法规、规章、政策的规定，规范</w:t>
      </w:r>
      <w:r>
        <w:rPr>
          <w:rFonts w:hint="eastAsia" w:ascii="仿宋" w:hAnsi="仿宋" w:eastAsia="仿宋"/>
          <w:sz w:val="28"/>
          <w:szCs w:val="28"/>
          <w:lang w:eastAsia="zh-CN"/>
        </w:rPr>
        <w:t>比选</w:t>
      </w:r>
      <w:r>
        <w:rPr>
          <w:rFonts w:hint="eastAsia" w:ascii="仿宋" w:hAnsi="仿宋" w:eastAsia="仿宋"/>
          <w:sz w:val="28"/>
          <w:szCs w:val="28"/>
        </w:rPr>
        <w:t>工作以及达成协议后的合作工作，保证做到合法</w:t>
      </w:r>
      <w:r>
        <w:rPr>
          <w:rFonts w:hint="eastAsia" w:ascii="仿宋" w:hAnsi="仿宋" w:eastAsia="仿宋"/>
          <w:sz w:val="28"/>
          <w:szCs w:val="28"/>
          <w:lang w:eastAsia="zh-CN"/>
        </w:rPr>
        <w:t>比选</w:t>
      </w:r>
      <w:r>
        <w:rPr>
          <w:rFonts w:hint="eastAsia" w:ascii="仿宋" w:hAnsi="仿宋" w:eastAsia="仿宋"/>
          <w:sz w:val="28"/>
          <w:szCs w:val="28"/>
        </w:rPr>
        <w:t>、正当竞争、廉洁经营。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二、本厂家、商家、公司保证在</w:t>
      </w:r>
      <w:r>
        <w:rPr>
          <w:rFonts w:hint="eastAsia" w:ascii="仿宋" w:hAnsi="仿宋" w:eastAsia="仿宋"/>
          <w:sz w:val="28"/>
          <w:szCs w:val="28"/>
          <w:lang w:eastAsia="zh-CN"/>
        </w:rPr>
        <w:t>比选</w:t>
      </w:r>
      <w:r>
        <w:rPr>
          <w:rFonts w:hint="eastAsia" w:ascii="仿宋" w:hAnsi="仿宋" w:eastAsia="仿宋"/>
          <w:sz w:val="28"/>
          <w:szCs w:val="28"/>
        </w:rPr>
        <w:t>工作及合作工作中承诺做到：</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.不与其他参选机构相互串通</w:t>
      </w:r>
      <w:r>
        <w:rPr>
          <w:rFonts w:hint="eastAsia" w:ascii="仿宋" w:hAnsi="仿宋" w:eastAsia="仿宋"/>
          <w:sz w:val="28"/>
          <w:szCs w:val="28"/>
          <w:lang w:eastAsia="zh-CN"/>
        </w:rPr>
        <w:t>比选</w:t>
      </w:r>
      <w:r>
        <w:rPr>
          <w:rFonts w:hint="eastAsia" w:ascii="仿宋" w:hAnsi="仿宋" w:eastAsia="仿宋"/>
          <w:sz w:val="28"/>
          <w:szCs w:val="28"/>
        </w:rPr>
        <w:t>报价，损害贵院的合法权益；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.不与其他参选机构串通</w:t>
      </w:r>
      <w:r>
        <w:rPr>
          <w:rFonts w:hint="eastAsia" w:ascii="仿宋" w:hAnsi="仿宋" w:eastAsia="仿宋"/>
          <w:sz w:val="28"/>
          <w:szCs w:val="28"/>
          <w:lang w:eastAsia="zh-CN"/>
        </w:rPr>
        <w:t>比选</w:t>
      </w:r>
      <w:r>
        <w:rPr>
          <w:rFonts w:hint="eastAsia" w:ascii="仿宋" w:hAnsi="仿宋" w:eastAsia="仿宋"/>
          <w:sz w:val="28"/>
          <w:szCs w:val="28"/>
        </w:rPr>
        <w:t>，损害国家利益、社会公共利益或他人的合法权益；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.不以向项目</w:t>
      </w:r>
      <w:r>
        <w:rPr>
          <w:rFonts w:hint="eastAsia" w:ascii="仿宋" w:hAnsi="仿宋" w:eastAsia="仿宋"/>
          <w:sz w:val="28"/>
          <w:szCs w:val="28"/>
          <w:lang w:eastAsia="zh-CN"/>
        </w:rPr>
        <w:t>比选</w:t>
      </w:r>
      <w:r>
        <w:rPr>
          <w:rFonts w:hint="eastAsia" w:ascii="仿宋" w:hAnsi="仿宋" w:eastAsia="仿宋"/>
          <w:sz w:val="28"/>
          <w:szCs w:val="28"/>
        </w:rPr>
        <w:t>方或者评审小组成员行贿的手段谋取中选；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w:t>
      </w:r>
      <w:r>
        <w:rPr>
          <w:rFonts w:hint="eastAsia" w:ascii="仿宋" w:hAnsi="仿宋" w:eastAsia="仿宋"/>
          <w:sz w:val="28"/>
          <w:szCs w:val="28"/>
          <w:lang w:eastAsia="zh-CN"/>
        </w:rPr>
        <w:t>比选</w:t>
      </w:r>
      <w:r>
        <w:rPr>
          <w:rFonts w:hint="eastAsia" w:ascii="仿宋" w:hAnsi="仿宋" w:eastAsia="仿宋"/>
          <w:sz w:val="28"/>
          <w:szCs w:val="28"/>
        </w:rPr>
        <w:t>报价不违反相关法律的规定，也不以他人名义参加</w:t>
      </w:r>
      <w:r>
        <w:rPr>
          <w:rFonts w:hint="eastAsia" w:ascii="仿宋" w:hAnsi="仿宋" w:eastAsia="仿宋"/>
          <w:sz w:val="28"/>
          <w:szCs w:val="28"/>
          <w:lang w:eastAsia="zh-CN"/>
        </w:rPr>
        <w:t>比选</w:t>
      </w:r>
      <w:r>
        <w:rPr>
          <w:rFonts w:hint="eastAsia" w:ascii="仿宋" w:hAnsi="仿宋" w:eastAsia="仿宋"/>
          <w:sz w:val="28"/>
          <w:szCs w:val="28"/>
        </w:rPr>
        <w:t>或者以其他方式弄虚作假，骗取中选；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.保证不以其他任何方式扰乱贵院的</w:t>
      </w:r>
      <w:r>
        <w:rPr>
          <w:rFonts w:hint="eastAsia" w:ascii="仿宋" w:hAnsi="仿宋" w:eastAsia="仿宋"/>
          <w:sz w:val="28"/>
          <w:szCs w:val="28"/>
          <w:lang w:eastAsia="zh-CN"/>
        </w:rPr>
        <w:t>比选</w:t>
      </w:r>
      <w:r>
        <w:rPr>
          <w:rFonts w:hint="eastAsia" w:ascii="仿宋" w:hAnsi="仿宋" w:eastAsia="仿宋"/>
          <w:sz w:val="28"/>
          <w:szCs w:val="28"/>
        </w:rPr>
        <w:t>工作；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.保证不在</w:t>
      </w:r>
      <w:r>
        <w:rPr>
          <w:rFonts w:hint="eastAsia" w:ascii="仿宋" w:hAnsi="仿宋" w:eastAsia="仿宋"/>
          <w:sz w:val="28"/>
          <w:szCs w:val="28"/>
          <w:lang w:eastAsia="zh-CN"/>
        </w:rPr>
        <w:t>比选</w:t>
      </w:r>
      <w:r>
        <w:rPr>
          <w:rFonts w:hint="eastAsia" w:ascii="仿宋" w:hAnsi="仿宋" w:eastAsia="仿宋"/>
          <w:sz w:val="28"/>
          <w:szCs w:val="28"/>
        </w:rPr>
        <w:t>中采取账外暗中给予回扣的手段腐蚀、贿赂相关人员；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.保证不以任何名义包括以宣传费、临床促销费、开单费、处方费、广告费、免费度假、考察旅游、房屋装修等任何名义给予贵院有关人员以财物或者其他利益；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.保证不干扰贵院的正常工作秩序；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三、本厂家、商家、公司保证竭力维护贵院的声誉，不做任何有损贵院形象的事情。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四、本厂家、商家、公司保证加强对</w:t>
      </w:r>
      <w:r>
        <w:rPr>
          <w:rFonts w:hint="eastAsia" w:ascii="仿宋" w:hAnsi="仿宋" w:eastAsia="仿宋"/>
          <w:sz w:val="28"/>
          <w:szCs w:val="28"/>
          <w:lang w:eastAsia="zh-CN"/>
        </w:rPr>
        <w:t>比选</w:t>
      </w:r>
      <w:r>
        <w:rPr>
          <w:rFonts w:hint="eastAsia" w:ascii="仿宋" w:hAnsi="仿宋" w:eastAsia="仿宋"/>
          <w:sz w:val="28"/>
          <w:szCs w:val="28"/>
        </w:rPr>
        <w:t>、促销等工作的领导、监督和检查；加强对本厂家、商家、公司工作人员进行相关法律、法规、规章、政策等的教育工作，切实要求本厂家、商家、公司相关工作人员不得采取各类回扣手段腐蚀、贿赂相关人员。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五、对本厂家、商家、公司及本厂家、商家、公司工作人员采取以上手段</w:t>
      </w:r>
      <w:r>
        <w:rPr>
          <w:rFonts w:hint="eastAsia" w:ascii="仿宋" w:hAnsi="仿宋" w:eastAsia="仿宋"/>
          <w:sz w:val="28"/>
          <w:szCs w:val="28"/>
          <w:lang w:eastAsia="zh-CN"/>
        </w:rPr>
        <w:t>比选</w:t>
      </w:r>
      <w:r>
        <w:rPr>
          <w:rFonts w:hint="eastAsia" w:ascii="仿宋" w:hAnsi="仿宋" w:eastAsia="仿宋"/>
          <w:sz w:val="28"/>
          <w:szCs w:val="28"/>
        </w:rPr>
        <w:t>、促销等，干扰贵院正常工作秩序，损害贵院形象的，本厂家、商家、公司保证：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.对尚处在</w:t>
      </w:r>
      <w:r>
        <w:rPr>
          <w:rFonts w:hint="eastAsia" w:ascii="仿宋" w:hAnsi="仿宋" w:eastAsia="仿宋"/>
          <w:sz w:val="28"/>
          <w:szCs w:val="28"/>
          <w:lang w:eastAsia="zh-CN"/>
        </w:rPr>
        <w:t>比选</w:t>
      </w:r>
      <w:r>
        <w:rPr>
          <w:rFonts w:hint="eastAsia" w:ascii="仿宋" w:hAnsi="仿宋" w:eastAsia="仿宋"/>
          <w:sz w:val="28"/>
          <w:szCs w:val="28"/>
        </w:rPr>
        <w:t>阶段的，贵院有权取消本厂家、商家、公司的</w:t>
      </w:r>
      <w:r>
        <w:rPr>
          <w:rFonts w:hint="eastAsia" w:ascii="仿宋" w:hAnsi="仿宋" w:eastAsia="仿宋"/>
          <w:sz w:val="28"/>
          <w:szCs w:val="28"/>
          <w:lang w:eastAsia="zh-CN"/>
        </w:rPr>
        <w:t>比选</w:t>
      </w:r>
      <w:r>
        <w:rPr>
          <w:rFonts w:hint="eastAsia" w:ascii="仿宋" w:hAnsi="仿宋" w:eastAsia="仿宋"/>
          <w:sz w:val="28"/>
          <w:szCs w:val="28"/>
        </w:rPr>
        <w:t>资格；已经中选的，贵院有权取消中选；对已经获得准入资格的，贵院有权随时取消本厂家、商家、公司的准入资格；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六、</w:t>
      </w:r>
      <w:r>
        <w:rPr>
          <w:rFonts w:hint="eastAsia" w:ascii="仿宋" w:hAnsi="仿宋" w:eastAsia="仿宋"/>
          <w:sz w:val="28"/>
          <w:szCs w:val="28"/>
          <w:lang w:eastAsia="zh-CN"/>
        </w:rPr>
        <w:t>比选</w:t>
      </w:r>
      <w:r>
        <w:rPr>
          <w:rFonts w:hint="eastAsia" w:ascii="仿宋" w:hAnsi="仿宋" w:eastAsia="仿宋"/>
          <w:sz w:val="28"/>
          <w:szCs w:val="28"/>
        </w:rPr>
        <w:t>项目名称：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snapToGrid/>
        <w:spacing w:line="600" w:lineRule="exact"/>
        <w:ind w:firstLine="2660" w:firstLineChars="950"/>
        <w:jc w:val="center"/>
        <w:textAlignment w:val="auto"/>
        <w:rPr>
          <w:rFonts w:ascii="仿宋" w:hAnsi="仿宋" w:eastAsia="仿宋"/>
          <w:sz w:val="28"/>
          <w:szCs w:val="28"/>
        </w:rPr>
      </w:pPr>
      <w:r>
        <w:rPr>
          <w:rFonts w:hint="eastAsia" w:ascii="仿宋" w:hAnsi="仿宋" w:eastAsia="仿宋"/>
          <w:sz w:val="28"/>
          <w:szCs w:val="28"/>
        </w:rPr>
        <w:t>承诺企业名称（公章）</w:t>
      </w:r>
    </w:p>
    <w:p>
      <w:pPr>
        <w:keepNext w:val="0"/>
        <w:keepLines w:val="0"/>
        <w:pageBreakBefore w:val="0"/>
        <w:widowControl w:val="0"/>
        <w:kinsoku/>
        <w:wordWrap/>
        <w:overflowPunct/>
        <w:topLinePunct w:val="0"/>
        <w:autoSpaceDE/>
        <w:autoSpaceDN/>
        <w:bidi w:val="0"/>
        <w:adjustRightInd/>
        <w:snapToGrid/>
        <w:spacing w:line="600" w:lineRule="exact"/>
        <w:ind w:firstLine="2660" w:firstLineChars="950"/>
        <w:jc w:val="center"/>
        <w:textAlignment w:val="auto"/>
        <w:rPr>
          <w:rFonts w:ascii="仿宋" w:hAnsi="仿宋" w:eastAsia="仿宋"/>
          <w:sz w:val="28"/>
          <w:szCs w:val="28"/>
        </w:rPr>
      </w:pPr>
      <w:r>
        <w:rPr>
          <w:rFonts w:hint="eastAsia" w:ascii="仿宋" w:hAnsi="仿宋" w:eastAsia="仿宋"/>
          <w:sz w:val="28"/>
          <w:szCs w:val="28"/>
        </w:rPr>
        <w:t>法人代表或委托代理人（承诺人）</w:t>
      </w:r>
    </w:p>
    <w:p>
      <w:pPr>
        <w:outlineLvl w:val="0"/>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8</w:t>
      </w:r>
      <w:r>
        <w:rPr>
          <w:rFonts w:hint="eastAsia"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无围标、串标行为承诺书</w:t>
      </w:r>
    </w:p>
    <w:p>
      <w:pPr>
        <w:ind w:firstLine="560" w:firstLineChars="200"/>
        <w:rPr>
          <w:rFonts w:ascii="仿宋" w:hAnsi="仿宋" w:eastAsia="仿宋"/>
          <w:sz w:val="28"/>
          <w:szCs w:val="28"/>
        </w:rPr>
      </w:pPr>
      <w:r>
        <w:rPr>
          <w:rFonts w:hint="eastAsia" w:ascii="仿宋" w:hAnsi="仿宋" w:eastAsia="仿宋"/>
          <w:sz w:val="28"/>
          <w:szCs w:val="28"/>
        </w:rPr>
        <w:t>本公司郑重承诺：我公司自觉遵守《中华人民共和国政府采购法》和《中华人民共和国政府采购法实施条例》的有关规定，我公司在参加本次项目（项目名称：XXXXXXX）</w:t>
      </w:r>
      <w:r>
        <w:rPr>
          <w:rFonts w:hint="eastAsia" w:ascii="仿宋" w:hAnsi="仿宋" w:eastAsia="仿宋"/>
          <w:sz w:val="28"/>
          <w:szCs w:val="28"/>
          <w:lang w:eastAsia="zh-CN"/>
        </w:rPr>
        <w:t>比选</w:t>
      </w:r>
      <w:r>
        <w:rPr>
          <w:rFonts w:hint="eastAsia" w:ascii="仿宋" w:hAnsi="仿宋" w:eastAsia="仿宋"/>
          <w:sz w:val="28"/>
          <w:szCs w:val="28"/>
        </w:rPr>
        <w:t>活动中，无以下围标、串标行为：</w:t>
      </w:r>
    </w:p>
    <w:p>
      <w:pPr>
        <w:ind w:firstLine="560" w:firstLineChars="200"/>
        <w:rPr>
          <w:rFonts w:ascii="仿宋" w:hAnsi="仿宋" w:eastAsia="仿宋"/>
          <w:sz w:val="28"/>
          <w:szCs w:val="28"/>
        </w:rPr>
      </w:pPr>
      <w:r>
        <w:rPr>
          <w:rFonts w:hint="eastAsia" w:ascii="仿宋" w:hAnsi="仿宋" w:eastAsia="仿宋"/>
          <w:sz w:val="28"/>
          <w:szCs w:val="28"/>
        </w:rPr>
        <w:t>1.不同参选机构的参选文件由同一单位或者个人编制；</w:t>
      </w:r>
    </w:p>
    <w:p>
      <w:pPr>
        <w:ind w:firstLine="560" w:firstLineChars="200"/>
        <w:rPr>
          <w:rFonts w:ascii="仿宋" w:hAnsi="仿宋" w:eastAsia="仿宋"/>
          <w:sz w:val="28"/>
          <w:szCs w:val="28"/>
        </w:rPr>
      </w:pPr>
      <w:r>
        <w:rPr>
          <w:rFonts w:hint="eastAsia" w:ascii="仿宋" w:hAnsi="仿宋" w:eastAsia="仿宋"/>
          <w:sz w:val="28"/>
          <w:szCs w:val="28"/>
        </w:rPr>
        <w:t>2.不同参选机构委托同一单位或者个人办理</w:t>
      </w:r>
      <w:r>
        <w:rPr>
          <w:rFonts w:hint="eastAsia" w:ascii="仿宋" w:hAnsi="仿宋" w:eastAsia="仿宋"/>
          <w:sz w:val="28"/>
          <w:szCs w:val="28"/>
          <w:lang w:eastAsia="zh-CN"/>
        </w:rPr>
        <w:t>比选</w:t>
      </w:r>
      <w:r>
        <w:rPr>
          <w:rFonts w:hint="eastAsia" w:ascii="仿宋" w:hAnsi="仿宋" w:eastAsia="仿宋"/>
          <w:sz w:val="28"/>
          <w:szCs w:val="28"/>
        </w:rPr>
        <w:t>事宜；</w:t>
      </w:r>
    </w:p>
    <w:p>
      <w:pPr>
        <w:ind w:firstLine="560" w:firstLineChars="200"/>
        <w:rPr>
          <w:rFonts w:ascii="仿宋" w:hAnsi="仿宋" w:eastAsia="仿宋"/>
          <w:sz w:val="28"/>
          <w:szCs w:val="28"/>
        </w:rPr>
      </w:pPr>
      <w:r>
        <w:rPr>
          <w:rFonts w:hint="eastAsia" w:ascii="仿宋" w:hAnsi="仿宋" w:eastAsia="仿宋"/>
          <w:sz w:val="28"/>
          <w:szCs w:val="28"/>
        </w:rPr>
        <w:t>3.不同参选机构的参选文件载明的项目管理成员或者联系人员为同一人；</w:t>
      </w:r>
    </w:p>
    <w:p>
      <w:pPr>
        <w:ind w:firstLine="560" w:firstLineChars="200"/>
        <w:rPr>
          <w:rFonts w:ascii="仿宋" w:hAnsi="仿宋" w:eastAsia="仿宋"/>
          <w:sz w:val="28"/>
          <w:szCs w:val="28"/>
        </w:rPr>
      </w:pPr>
      <w:r>
        <w:rPr>
          <w:rFonts w:hint="eastAsia" w:ascii="仿宋" w:hAnsi="仿宋" w:eastAsia="仿宋"/>
          <w:sz w:val="28"/>
          <w:szCs w:val="28"/>
        </w:rPr>
        <w:t>4.不同参选机构的参选文件异常一致或者投标报价呈规律性差异；</w:t>
      </w:r>
    </w:p>
    <w:p>
      <w:pPr>
        <w:ind w:firstLine="560" w:firstLineChars="200"/>
        <w:rPr>
          <w:rFonts w:ascii="仿宋" w:hAnsi="仿宋" w:eastAsia="仿宋"/>
          <w:sz w:val="28"/>
          <w:szCs w:val="28"/>
        </w:rPr>
      </w:pPr>
      <w:r>
        <w:rPr>
          <w:rFonts w:hint="eastAsia" w:ascii="仿宋" w:hAnsi="仿宋" w:eastAsia="仿宋"/>
          <w:sz w:val="28"/>
          <w:szCs w:val="28"/>
        </w:rPr>
        <w:t>5.不同参选机构的参选文件相互混装；</w:t>
      </w:r>
    </w:p>
    <w:p>
      <w:pPr>
        <w:ind w:firstLine="560" w:firstLineChars="200"/>
        <w:rPr>
          <w:rFonts w:ascii="仿宋" w:hAnsi="仿宋" w:eastAsia="仿宋"/>
          <w:sz w:val="28"/>
          <w:szCs w:val="28"/>
        </w:rPr>
      </w:pPr>
      <w:r>
        <w:rPr>
          <w:rFonts w:hint="eastAsia" w:ascii="仿宋" w:hAnsi="仿宋" w:eastAsia="仿宋"/>
          <w:sz w:val="28"/>
          <w:szCs w:val="28"/>
        </w:rPr>
        <w:t>6.不同参选机构的投标保证金从同一单位或者个人的账户转出；</w:t>
      </w:r>
    </w:p>
    <w:p>
      <w:pPr>
        <w:ind w:firstLine="560" w:firstLineChars="200"/>
        <w:rPr>
          <w:rFonts w:ascii="仿宋" w:hAnsi="仿宋" w:eastAsia="仿宋"/>
          <w:sz w:val="28"/>
          <w:szCs w:val="28"/>
        </w:rPr>
      </w:pPr>
      <w:r>
        <w:rPr>
          <w:rFonts w:hint="eastAsia" w:ascii="仿宋" w:hAnsi="仿宋" w:eastAsia="仿宋"/>
          <w:sz w:val="28"/>
          <w:szCs w:val="28"/>
        </w:rPr>
        <w:t>7.不同参选机构的董事、监事、高管、单位负责人为同一人或者存在控股、管理关系的不同单位参加同一</w:t>
      </w:r>
      <w:r>
        <w:rPr>
          <w:rFonts w:hint="eastAsia" w:ascii="仿宋" w:hAnsi="仿宋" w:eastAsia="仿宋"/>
          <w:sz w:val="28"/>
          <w:szCs w:val="28"/>
          <w:lang w:eastAsia="zh-CN"/>
        </w:rPr>
        <w:t>比选</w:t>
      </w:r>
      <w:r>
        <w:rPr>
          <w:rFonts w:hint="eastAsia" w:ascii="仿宋" w:hAnsi="仿宋" w:eastAsia="仿宋"/>
          <w:sz w:val="28"/>
          <w:szCs w:val="28"/>
        </w:rPr>
        <w:t>项目；</w:t>
      </w:r>
    </w:p>
    <w:p>
      <w:pPr>
        <w:ind w:firstLine="560" w:firstLineChars="200"/>
        <w:rPr>
          <w:rFonts w:ascii="仿宋" w:hAnsi="仿宋" w:eastAsia="仿宋"/>
          <w:sz w:val="28"/>
          <w:szCs w:val="28"/>
        </w:rPr>
      </w:pPr>
      <w:r>
        <w:rPr>
          <w:rFonts w:hint="eastAsia" w:ascii="仿宋" w:hAnsi="仿宋" w:eastAsia="仿宋"/>
          <w:sz w:val="28"/>
          <w:szCs w:val="28"/>
        </w:rPr>
        <w:t>8.参选机构之间事先约定由某一特定机构中标、成交；</w:t>
      </w:r>
    </w:p>
    <w:p>
      <w:pPr>
        <w:ind w:firstLine="560" w:firstLineChars="200"/>
        <w:rPr>
          <w:rFonts w:ascii="仿宋" w:hAnsi="仿宋" w:eastAsia="仿宋"/>
          <w:sz w:val="28"/>
          <w:szCs w:val="28"/>
        </w:rPr>
      </w:pPr>
      <w:r>
        <w:rPr>
          <w:rFonts w:hint="eastAsia" w:ascii="仿宋" w:hAnsi="仿宋" w:eastAsia="仿宋"/>
          <w:sz w:val="28"/>
          <w:szCs w:val="28"/>
        </w:rPr>
        <w:t>9.参选机构之间商定部分机构放弃参加</w:t>
      </w:r>
      <w:r>
        <w:rPr>
          <w:rFonts w:hint="eastAsia" w:ascii="仿宋" w:hAnsi="仿宋" w:eastAsia="仿宋"/>
          <w:sz w:val="28"/>
          <w:szCs w:val="28"/>
          <w:lang w:eastAsia="zh-CN"/>
        </w:rPr>
        <w:t>比选</w:t>
      </w:r>
      <w:r>
        <w:rPr>
          <w:rFonts w:hint="eastAsia" w:ascii="仿宋" w:hAnsi="仿宋" w:eastAsia="仿宋"/>
          <w:sz w:val="28"/>
          <w:szCs w:val="28"/>
        </w:rPr>
        <w:t>活动或者放弃中标、成交；</w:t>
      </w:r>
    </w:p>
    <w:p>
      <w:pPr>
        <w:ind w:firstLine="560" w:firstLineChars="200"/>
        <w:rPr>
          <w:rFonts w:ascii="仿宋" w:hAnsi="仿宋" w:eastAsia="仿宋"/>
          <w:sz w:val="28"/>
          <w:szCs w:val="28"/>
        </w:rPr>
      </w:pPr>
      <w:r>
        <w:rPr>
          <w:rFonts w:hint="eastAsia" w:ascii="仿宋" w:hAnsi="仿宋" w:eastAsia="仿宋"/>
          <w:sz w:val="28"/>
          <w:szCs w:val="28"/>
        </w:rPr>
        <w:t>10.法律法规界定的其他围标串标行为。</w:t>
      </w:r>
    </w:p>
    <w:p>
      <w:pPr>
        <w:ind w:firstLine="560" w:firstLineChars="200"/>
        <w:rPr>
          <w:rFonts w:ascii="仿宋" w:hAnsi="仿宋" w:eastAsia="仿宋"/>
          <w:sz w:val="28"/>
          <w:szCs w:val="28"/>
        </w:rPr>
      </w:pPr>
      <w:r>
        <w:rPr>
          <w:rFonts w:hint="eastAsia" w:ascii="仿宋" w:hAnsi="仿宋" w:eastAsia="仿宋"/>
          <w:sz w:val="28"/>
          <w:szCs w:val="28"/>
        </w:rPr>
        <w:t>我公司承诺在本项目</w:t>
      </w:r>
      <w:r>
        <w:rPr>
          <w:rFonts w:hint="eastAsia" w:ascii="仿宋" w:hAnsi="仿宋" w:eastAsia="仿宋"/>
          <w:sz w:val="28"/>
          <w:szCs w:val="28"/>
          <w:lang w:eastAsia="zh-CN"/>
        </w:rPr>
        <w:t>比选</w:t>
      </w:r>
      <w:r>
        <w:rPr>
          <w:rFonts w:hint="eastAsia" w:ascii="仿宋" w:hAnsi="仿宋" w:eastAsia="仿宋"/>
          <w:sz w:val="28"/>
          <w:szCs w:val="28"/>
        </w:rPr>
        <w:t>活动中，与</w:t>
      </w:r>
      <w:r>
        <w:rPr>
          <w:rFonts w:hint="eastAsia" w:ascii="仿宋" w:hAnsi="仿宋" w:eastAsia="仿宋"/>
          <w:sz w:val="28"/>
          <w:szCs w:val="28"/>
          <w:lang w:eastAsia="zh-CN"/>
        </w:rPr>
        <w:t>比选</w:t>
      </w:r>
      <w:r>
        <w:rPr>
          <w:rFonts w:hint="eastAsia" w:ascii="仿宋" w:hAnsi="仿宋" w:eastAsia="仿宋"/>
          <w:sz w:val="28"/>
          <w:szCs w:val="28"/>
        </w:rPr>
        <w:t>人不存在关联关系，与其他投标单位不存在关联关系。如被查实在本项目</w:t>
      </w:r>
      <w:r>
        <w:rPr>
          <w:rFonts w:hint="eastAsia" w:ascii="仿宋" w:hAnsi="仿宋" w:eastAsia="仿宋"/>
          <w:sz w:val="28"/>
          <w:szCs w:val="28"/>
          <w:lang w:eastAsia="zh-CN"/>
        </w:rPr>
        <w:t>比选</w:t>
      </w:r>
      <w:r>
        <w:rPr>
          <w:rFonts w:hint="eastAsia" w:ascii="仿宋" w:hAnsi="仿宋" w:eastAsia="仿宋"/>
          <w:sz w:val="28"/>
          <w:szCs w:val="28"/>
        </w:rPr>
        <w:t>活动中存在围标、串标的，本公司将承担法律责任，接受相应的法律法规处罚。</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投标人法人代表或委托代理人（承诺人） ：</w:t>
      </w:r>
    </w:p>
    <w:p>
      <w:pPr>
        <w:ind w:firstLine="560" w:firstLineChars="200"/>
        <w:rPr>
          <w:rFonts w:ascii="仿宋" w:hAnsi="仿宋" w:eastAsia="仿宋"/>
          <w:sz w:val="28"/>
          <w:szCs w:val="28"/>
        </w:rPr>
      </w:pPr>
      <w:r>
        <w:rPr>
          <w:rFonts w:hint="eastAsia" w:ascii="仿宋" w:hAnsi="仿宋" w:eastAsia="仿宋"/>
          <w:sz w:val="28"/>
          <w:szCs w:val="28"/>
        </w:rPr>
        <w:t xml:space="preserve">投标人：（公章）  </w:t>
      </w:r>
    </w:p>
    <w:p>
      <w:pPr>
        <w:ind w:firstLine="560" w:firstLineChars="200"/>
        <w:rPr>
          <w:rFonts w:hint="eastAsia" w:ascii="仿宋" w:hAnsi="仿宋" w:eastAsia="仿宋"/>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sz w:val="28"/>
          <w:szCs w:val="28"/>
        </w:rPr>
        <w:t>日期：   年    月    日</w:t>
      </w:r>
    </w:p>
    <w:p>
      <w:pPr>
        <w:adjustRightInd w:val="0"/>
        <w:snapToGrid w:val="0"/>
        <w:spacing w:line="480" w:lineRule="auto"/>
        <w:jc w:val="both"/>
        <w:outlineLvl w:val="0"/>
        <w:rPr>
          <w:rFonts w:hint="eastAsia" w:ascii="仿宋" w:hAnsi="仿宋" w:eastAsia="仿宋"/>
          <w:b/>
          <w:sz w:val="32"/>
          <w:szCs w:val="28"/>
        </w:rPr>
      </w:pPr>
      <w:r>
        <w:rPr>
          <w:rFonts w:hint="eastAsia" w:ascii="仿宋" w:hAnsi="仿宋" w:eastAsia="仿宋"/>
          <w:sz w:val="28"/>
          <w:szCs w:val="28"/>
        </w:rPr>
        <w:t>附件</w:t>
      </w:r>
      <w:r>
        <w:rPr>
          <w:rFonts w:hint="eastAsia" w:ascii="仿宋" w:hAnsi="仿宋" w:eastAsia="仿宋"/>
          <w:sz w:val="28"/>
          <w:szCs w:val="28"/>
          <w:lang w:val="en-US" w:eastAsia="zh-CN"/>
        </w:rPr>
        <w:t>9</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b/>
          <w:sz w:val="32"/>
          <w:szCs w:val="28"/>
        </w:rPr>
        <w:t>评审办法（综合评分明细表）</w:t>
      </w:r>
    </w:p>
    <w:tbl>
      <w:tblPr>
        <w:tblStyle w:val="15"/>
        <w:tblW w:w="85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965"/>
        <w:gridCol w:w="955"/>
        <w:gridCol w:w="3823"/>
        <w:gridCol w:w="698"/>
        <w:gridCol w:w="14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评分因素及权重</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分值</w:t>
            </w:r>
          </w:p>
        </w:tc>
        <w:tc>
          <w:tcPr>
            <w:tcW w:w="3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评分标准</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得分</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价格（30%）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项目合作费用：满足比选文件要求且比例最高的投标报价为评标基准价，其价格分为满分30分。其他投标单位的价格统一按照下列公式计算：投标报价得分=（投标报价/评标基准价）×30。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highlight w:val="none"/>
                <w:u w:val="none"/>
                <w:lang w:val="en-US" w:eastAsia="zh-CN" w:bidi="ar"/>
              </w:rPr>
              <w:t>评分的取值按四舍五入法，保留小数点后两位。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技术要求（3</w:t>
            </w:r>
            <w:r>
              <w:rPr>
                <w:rFonts w:hint="default" w:ascii="仿宋" w:hAnsi="仿宋" w:eastAsia="仿宋" w:cs="仿宋"/>
                <w:i w:val="0"/>
                <w:iCs w:val="0"/>
                <w:color w:val="000000"/>
                <w:kern w:val="0"/>
                <w:sz w:val="24"/>
                <w:szCs w:val="24"/>
                <w:u w:val="none"/>
                <w:lang w:val="en-US" w:eastAsia="zh-CN" w:bidi="ar"/>
              </w:rPr>
              <w:t>8</w:t>
            </w:r>
            <w:r>
              <w:rPr>
                <w:rFonts w:hint="eastAsia" w:ascii="仿宋" w:hAnsi="仿宋" w:eastAsia="仿宋" w:cs="仿宋"/>
                <w:i w:val="0"/>
                <w:iCs w:val="0"/>
                <w:color w:val="000000"/>
                <w:kern w:val="0"/>
                <w:sz w:val="24"/>
                <w:szCs w:val="24"/>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default" w:ascii="仿宋" w:hAnsi="仿宋" w:eastAsia="仿宋" w:cs="仿宋"/>
                <w:i w:val="0"/>
                <w:iCs w:val="0"/>
                <w:color w:val="000000"/>
                <w:kern w:val="0"/>
                <w:sz w:val="24"/>
                <w:szCs w:val="24"/>
                <w:u w:val="none"/>
                <w:lang w:val="en-US" w:eastAsia="zh-CN" w:bidi="ar"/>
              </w:rPr>
              <w:t>32</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1.参选机构带*条款的响应得分规则如下：全部满足带*条为满分，不满足一条扣</w:t>
            </w:r>
            <w:r>
              <w:rPr>
                <w:rFonts w:hint="default" w:ascii="仿宋" w:hAnsi="仿宋" w:eastAsia="仿宋" w:cs="仿宋"/>
                <w:i w:val="0"/>
                <w:iCs w:val="0"/>
                <w:color w:val="000000"/>
                <w:kern w:val="0"/>
                <w:sz w:val="24"/>
                <w:szCs w:val="24"/>
                <w:u w:val="none"/>
                <w:lang w:val="en-US" w:eastAsia="zh-CN" w:bidi="ar"/>
              </w:rPr>
              <w:t>8</w:t>
            </w:r>
            <w:r>
              <w:rPr>
                <w:rFonts w:hint="eastAsia" w:ascii="仿宋" w:hAnsi="仿宋" w:eastAsia="仿宋" w:cs="仿宋"/>
                <w:i w:val="0"/>
                <w:iCs w:val="0"/>
                <w:color w:val="000000"/>
                <w:kern w:val="0"/>
                <w:sz w:val="24"/>
                <w:szCs w:val="24"/>
                <w:u w:val="none"/>
                <w:lang w:val="en-US" w:eastAsia="zh-CN" w:bidi="ar"/>
              </w:rPr>
              <w:t>分，扣完为止。</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451" w:type="dxa"/>
            <w:vMerge w:val="restart"/>
            <w:tcBorders>
              <w:top w:val="single" w:color="000000" w:sz="4" w:space="0"/>
              <w:left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①</w:t>
            </w:r>
            <w:r>
              <w:rPr>
                <w:rFonts w:hint="eastAsia" w:ascii="仿宋" w:hAnsi="仿宋" w:eastAsia="仿宋" w:cs="仿宋"/>
                <w:i w:val="0"/>
                <w:iCs w:val="0"/>
                <w:color w:val="000000" w:themeColor="text1"/>
                <w:sz w:val="24"/>
                <w:szCs w:val="24"/>
                <w:u w:val="none"/>
                <w14:textFill>
                  <w14:solidFill>
                    <w14:schemeClr w14:val="tx1"/>
                  </w14:solidFill>
                </w14:textFill>
              </w:rPr>
              <w:t>响应内容应提供承诺函或其他纸质证明材料并</w:t>
            </w:r>
            <w:r>
              <w:rPr>
                <w:rFonts w:hint="eastAsia" w:ascii="仿宋" w:hAnsi="仿宋" w:eastAsia="仿宋" w:cs="仿宋"/>
                <w:i w:val="0"/>
                <w:iCs w:val="0"/>
                <w:color w:val="000000" w:themeColor="text1"/>
                <w:sz w:val="24"/>
                <w:szCs w:val="24"/>
                <w:u w:val="none"/>
                <w:lang w:eastAsia="zh-CN"/>
                <w14:textFill>
                  <w14:solidFill>
                    <w14:schemeClr w14:val="tx1"/>
                  </w14:solidFill>
                </w14:textFill>
              </w:rPr>
              <w:t>逐页</w:t>
            </w:r>
            <w:r>
              <w:rPr>
                <w:rFonts w:hint="eastAsia" w:ascii="仿宋" w:hAnsi="仿宋" w:eastAsia="仿宋" w:cs="仿宋"/>
                <w:i w:val="0"/>
                <w:iCs w:val="0"/>
                <w:color w:val="000000" w:themeColor="text1"/>
                <w:sz w:val="24"/>
                <w:szCs w:val="24"/>
                <w:u w:val="none"/>
                <w14:textFill>
                  <w14:solidFill>
                    <w14:schemeClr w14:val="tx1"/>
                  </w14:solidFill>
                </w14:textFill>
              </w:rPr>
              <w:t>加盖参选机构鲜章。</w:t>
            </w:r>
          </w:p>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②</w:t>
            </w:r>
            <w:r>
              <w:rPr>
                <w:rFonts w:hint="eastAsia" w:ascii="仿宋" w:hAnsi="仿宋" w:eastAsia="仿宋" w:cs="仿宋"/>
                <w:i w:val="0"/>
                <w:iCs w:val="0"/>
                <w:color w:val="000000" w:themeColor="text1"/>
                <w:sz w:val="24"/>
                <w:szCs w:val="24"/>
                <w:u w:val="none"/>
                <w14:textFill>
                  <w14:solidFill>
                    <w14:schemeClr w14:val="tx1"/>
                  </w14:solidFill>
                </w14:textFill>
              </w:rPr>
              <w:t>带*条款为重要条款的响应。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6</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2.参选机构一般条款的响应得分规则如下：（一般条款是指：除标注“*” 的条款以外的所有条款）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全部满足为满分，不满足一条扣</w:t>
            </w:r>
            <w:r>
              <w:rPr>
                <w:rFonts w:hint="default" w:ascii="仿宋" w:hAnsi="仿宋" w:eastAsia="仿宋" w:cs="仿宋"/>
                <w:i w:val="0"/>
                <w:iCs w:val="0"/>
                <w:color w:val="000000"/>
                <w:kern w:val="0"/>
                <w:sz w:val="24"/>
                <w:szCs w:val="24"/>
                <w:u w:val="none"/>
                <w:lang w:val="en-US" w:eastAsia="zh-CN" w:bidi="ar"/>
              </w:rPr>
              <w:t>2</w:t>
            </w:r>
            <w:r>
              <w:rPr>
                <w:rFonts w:hint="eastAsia" w:ascii="仿宋" w:hAnsi="仿宋" w:eastAsia="仿宋" w:cs="仿宋"/>
                <w:i w:val="0"/>
                <w:iCs w:val="0"/>
                <w:color w:val="000000"/>
                <w:kern w:val="0"/>
                <w:sz w:val="24"/>
                <w:szCs w:val="24"/>
                <w:u w:val="none"/>
                <w:lang w:val="en-US" w:eastAsia="zh-CN" w:bidi="ar"/>
              </w:rPr>
              <w:t>分，扣完为止。</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451" w:type="dxa"/>
            <w:vMerge w:val="continue"/>
            <w:tcBorders>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业绩证明（8%）</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业绩证明文件，参选机构提供2020年以来，在国内同类合作项目，以3家为基数，满足得6分，不满足不得分；每超过1家加1分，最多加2分。</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提供合同复印件并</w:t>
            </w:r>
            <w:r>
              <w:rPr>
                <w:rFonts w:hint="eastAsia" w:ascii="仿宋" w:hAnsi="仿宋" w:eastAsia="仿宋" w:cs="仿宋"/>
                <w:i w:val="0"/>
                <w:iCs w:val="0"/>
                <w:color w:val="000000" w:themeColor="text1"/>
                <w:sz w:val="24"/>
                <w:szCs w:val="24"/>
                <w:u w:val="none"/>
                <w:lang w:eastAsia="zh-CN"/>
                <w14:textFill>
                  <w14:solidFill>
                    <w14:schemeClr w14:val="tx1"/>
                  </w14:solidFill>
                </w14:textFill>
              </w:rPr>
              <w:t>逐页</w:t>
            </w:r>
            <w:r>
              <w:rPr>
                <w:rFonts w:hint="eastAsia" w:ascii="仿宋" w:hAnsi="仿宋" w:eastAsia="仿宋" w:cs="仿宋"/>
                <w:i w:val="0"/>
                <w:iCs w:val="0"/>
                <w:color w:val="000000"/>
                <w:kern w:val="0"/>
                <w:sz w:val="24"/>
                <w:szCs w:val="24"/>
                <w:u w:val="none"/>
                <w:lang w:val="en-US" w:eastAsia="zh-CN" w:bidi="ar"/>
              </w:rPr>
              <w:t>加盖参选机构鲜章。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68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6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合作方案与服务能力（</w:t>
            </w:r>
            <w:r>
              <w:rPr>
                <w:rFonts w:hint="default" w:ascii="仿宋" w:hAnsi="仿宋" w:eastAsia="仿宋" w:cs="仿宋"/>
                <w:i w:val="0"/>
                <w:iCs w:val="0"/>
                <w:color w:val="000000"/>
                <w:kern w:val="0"/>
                <w:sz w:val="24"/>
                <w:szCs w:val="24"/>
                <w:u w:val="none"/>
                <w:lang w:val="en-US" w:eastAsia="zh-CN" w:bidi="ar"/>
              </w:rPr>
              <w:t>24</w:t>
            </w:r>
            <w:r>
              <w:rPr>
                <w:rFonts w:hint="eastAsia" w:ascii="仿宋" w:hAnsi="仿宋" w:eastAsia="仿宋" w:cs="仿宋"/>
                <w:i w:val="0"/>
                <w:iCs w:val="0"/>
                <w:color w:val="000000"/>
                <w:kern w:val="0"/>
                <w:sz w:val="24"/>
                <w:szCs w:val="24"/>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所提供服务方案的整体质量、可行性进行打分：在要求的合作模式下，有完整的运行流程；质量控制流程；项目运营管理能力展示；参选机构在医学影像诊断方面的技术创新能力，具备帮助医院提升科研学术的能力；有及时响应的应急保障措施；具备有效的投诉处理措施。要求方案清晰、科学、完善、可行性高。提供上述六项方案的，得24分，有一项未提供扣4分，扣完为止。</w:t>
            </w:r>
          </w:p>
        </w:tc>
        <w:tc>
          <w:tcPr>
            <w:tcW w:w="698"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145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提供证明材料</w:t>
            </w:r>
            <w:r>
              <w:rPr>
                <w:rFonts w:hint="eastAsia" w:ascii="仿宋" w:hAnsi="仿宋" w:eastAsia="仿宋" w:cs="仿宋"/>
                <w:i w:val="0"/>
                <w:iCs w:val="0"/>
                <w:color w:val="000000"/>
                <w:kern w:val="0"/>
                <w:sz w:val="24"/>
                <w:szCs w:val="24"/>
                <w:u w:val="none"/>
                <w:lang w:val="en-US" w:eastAsia="zh-CN" w:bidi="ar"/>
              </w:rPr>
              <w:t>并</w:t>
            </w:r>
            <w:r>
              <w:rPr>
                <w:rFonts w:hint="eastAsia" w:ascii="仿宋" w:hAnsi="仿宋" w:eastAsia="仿宋" w:cs="仿宋"/>
                <w:i w:val="0"/>
                <w:iCs w:val="0"/>
                <w:color w:val="000000" w:themeColor="text1"/>
                <w:sz w:val="24"/>
                <w:szCs w:val="24"/>
                <w:u w:val="none"/>
                <w:lang w:eastAsia="zh-CN"/>
                <w14:textFill>
                  <w14:solidFill>
                    <w14:schemeClr w14:val="tx1"/>
                  </w14:solidFill>
                </w14:textFill>
              </w:rPr>
              <w:t>逐页</w:t>
            </w:r>
            <w:r>
              <w:rPr>
                <w:rFonts w:hint="eastAsia" w:ascii="仿宋" w:hAnsi="仿宋" w:eastAsia="仿宋" w:cs="仿宋"/>
                <w:i w:val="0"/>
                <w:iCs w:val="0"/>
                <w:color w:val="000000"/>
                <w:kern w:val="0"/>
                <w:sz w:val="24"/>
                <w:szCs w:val="24"/>
                <w:u w:val="none"/>
                <w:lang w:val="en-US" w:eastAsia="zh-CN" w:bidi="ar"/>
              </w:rPr>
              <w:t>加盖参选机构鲜章。</w:t>
            </w:r>
          </w:p>
          <w:p>
            <w:pPr>
              <w:rPr>
                <w:rFonts w:hint="eastAsia" w:ascii="仿宋" w:hAnsi="仿宋" w:eastAsia="仿宋" w:cs="仿宋"/>
                <w:i w:val="0"/>
                <w:iCs w:val="0"/>
                <w:color w:val="000000"/>
                <w:sz w:val="24"/>
                <w:szCs w:val="24"/>
                <w:u w:val="none"/>
              </w:rPr>
            </w:pPr>
          </w:p>
        </w:tc>
      </w:tr>
    </w:tbl>
    <w:p>
      <w:pPr>
        <w:rPr>
          <w:rFonts w:hint="eastAsia" w:ascii="仿宋" w:hAnsi="仿宋" w:eastAsia="仿宋" w:cs="仿宋"/>
          <w:sz w:val="24"/>
          <w:szCs w:val="24"/>
        </w:rPr>
        <w:sectPr>
          <w:pgSz w:w="11906" w:h="16838"/>
          <w:pgMar w:top="1440" w:right="1797" w:bottom="1440" w:left="1797" w:header="851" w:footer="992" w:gutter="0"/>
          <w:pgNumType w:fmt="decimal"/>
          <w:cols w:space="425" w:num="1"/>
          <w:docGrid w:type="lines" w:linePitch="312" w:charSpace="0"/>
        </w:sectPr>
      </w:pPr>
    </w:p>
    <w:p>
      <w:pPr>
        <w:pStyle w:val="2"/>
        <w:tabs>
          <w:tab w:val="left" w:pos="0"/>
        </w:tabs>
        <w:jc w:val="left"/>
        <w:outlineLvl w:val="0"/>
        <w:rPr>
          <w:rFonts w:hint="eastAsia" w:ascii="仿宋" w:hAnsi="仿宋" w:eastAsia="仿宋" w:cstheme="minorBidi"/>
          <w:b/>
          <w:kern w:val="2"/>
          <w:sz w:val="32"/>
          <w:szCs w:val="28"/>
          <w:lang w:val="en-US" w:eastAsia="zh-CN" w:bidi="ar-SA"/>
        </w:rPr>
      </w:pPr>
      <w:bookmarkStart w:id="0" w:name="_Toc25226"/>
      <w:bookmarkStart w:id="1" w:name="_Toc19136"/>
      <w:bookmarkStart w:id="2" w:name="_Toc10058"/>
      <w:bookmarkStart w:id="3" w:name="_Toc31251"/>
      <w:r>
        <w:rPr>
          <w:rFonts w:hint="eastAsia" w:ascii="仿宋" w:hAnsi="仿宋" w:eastAsia="仿宋" w:cstheme="minorBidi"/>
          <w:kern w:val="2"/>
          <w:sz w:val="28"/>
          <w:szCs w:val="28"/>
          <w:lang w:val="en-US" w:eastAsia="zh-CN" w:bidi="ar-SA"/>
        </w:rPr>
        <w:t>附件10</w:t>
      </w:r>
      <w:r>
        <w:rPr>
          <w:rFonts w:hint="eastAsia" w:ascii="方正小标宋简体" w:hAnsi="方正小标宋简体" w:eastAsia="方正小标宋简体" w:cs="方正小标宋简体"/>
          <w:sz w:val="32"/>
          <w:szCs w:val="32"/>
          <w:lang w:val="en-US" w:eastAsia="zh-CN"/>
        </w:rPr>
        <w:t xml:space="preserve">           </w:t>
      </w:r>
      <w:r>
        <w:rPr>
          <w:rFonts w:hint="eastAsia" w:ascii="仿宋" w:hAnsi="仿宋" w:eastAsia="仿宋" w:cstheme="minorBidi"/>
          <w:b/>
          <w:kern w:val="2"/>
          <w:sz w:val="32"/>
          <w:szCs w:val="28"/>
          <w:lang w:val="en-US" w:eastAsia="zh-CN" w:bidi="ar-SA"/>
        </w:rPr>
        <w:t>医疗服务项目收费标准</w:t>
      </w:r>
      <w:bookmarkEnd w:id="0"/>
      <w:bookmarkEnd w:id="1"/>
      <w:bookmarkEnd w:id="2"/>
      <w:bookmarkEnd w:id="3"/>
    </w:p>
    <w:p>
      <w:pPr>
        <w:rPr>
          <w:rFonts w:ascii="仿宋_GB2312" w:hAnsi="仿宋_GB2312" w:eastAsia="仿宋_GB2312" w:cs="仿宋_GB2312"/>
        </w:rPr>
      </w:pPr>
    </w:p>
    <w:p>
      <w:pPr>
        <w:tabs>
          <w:tab w:val="left" w:pos="5743"/>
        </w:tabs>
        <w:spacing w:line="360" w:lineRule="auto"/>
        <w:ind w:firstLine="492" w:firstLineChars="176"/>
        <w:rPr>
          <w:sz w:val="28"/>
          <w:szCs w:val="28"/>
        </w:rPr>
      </w:pPr>
      <w:r>
        <w:rPr>
          <w:rFonts w:hint="eastAsia"/>
          <w:sz w:val="28"/>
          <w:szCs w:val="28"/>
        </w:rPr>
        <w:t>表1、PET/CT费用标准组成及依据</w:t>
      </w:r>
      <w:r>
        <w:rPr>
          <w:rFonts w:hint="eastAsia"/>
          <w:sz w:val="28"/>
          <w:szCs w:val="28"/>
        </w:rPr>
        <w:tab/>
      </w:r>
    </w:p>
    <w:tbl>
      <w:tblPr>
        <w:tblStyle w:val="15"/>
        <w:tblW w:w="7992" w:type="dxa"/>
        <w:tblInd w:w="0" w:type="dxa"/>
        <w:tblLayout w:type="autofit"/>
        <w:tblCellMar>
          <w:top w:w="0" w:type="dxa"/>
          <w:left w:w="108" w:type="dxa"/>
          <w:bottom w:w="0" w:type="dxa"/>
          <w:right w:w="108" w:type="dxa"/>
        </w:tblCellMar>
      </w:tblPr>
      <w:tblGrid>
        <w:gridCol w:w="1784"/>
        <w:gridCol w:w="1555"/>
        <w:gridCol w:w="929"/>
        <w:gridCol w:w="8"/>
        <w:gridCol w:w="2680"/>
        <w:gridCol w:w="1036"/>
      </w:tblGrid>
      <w:tr>
        <w:tblPrEx>
          <w:tblCellMar>
            <w:top w:w="0" w:type="dxa"/>
            <w:left w:w="108" w:type="dxa"/>
            <w:bottom w:w="0" w:type="dxa"/>
            <w:right w:w="108" w:type="dxa"/>
          </w:tblCellMar>
        </w:tblPrEx>
        <w:trPr>
          <w:trHeight w:val="366" w:hRule="atLeast"/>
        </w:trPr>
        <w:tc>
          <w:tcPr>
            <w:tcW w:w="1784" w:type="dxa"/>
            <w:vMerge w:val="restart"/>
            <w:tcBorders>
              <w:top w:val="single" w:color="auto" w:sz="4" w:space="0"/>
              <w:left w:val="single" w:color="auto" w:sz="4" w:space="0"/>
              <w:bottom w:val="single" w:color="auto" w:sz="4" w:space="0"/>
              <w:right w:val="single" w:color="auto" w:sz="4" w:space="0"/>
              <w:tl2br w:val="single" w:color="auto" w:sz="4" w:space="0"/>
            </w:tcBorders>
            <w:vAlign w:val="bottom"/>
          </w:tcPr>
          <w:p>
            <w:pPr>
              <w:widowControl/>
              <w:rPr>
                <w:sz w:val="24"/>
              </w:rPr>
            </w:pPr>
            <w:r>
              <w:rPr>
                <w:rFonts w:hint="eastAsia"/>
                <w:sz w:val="24"/>
              </w:rPr>
              <w:t xml:space="preserve">         项目</w:t>
            </w:r>
            <w:r>
              <w:rPr>
                <w:rFonts w:hint="eastAsia"/>
                <w:sz w:val="24"/>
              </w:rPr>
              <w:br w:type="textWrapping"/>
            </w:r>
            <w:r>
              <w:rPr>
                <w:rFonts w:hint="eastAsia"/>
                <w:sz w:val="24"/>
              </w:rPr>
              <w:t>类别</w:t>
            </w:r>
          </w:p>
        </w:tc>
        <w:tc>
          <w:tcPr>
            <w:tcW w:w="2492" w:type="dxa"/>
            <w:gridSpan w:val="3"/>
            <w:tcBorders>
              <w:top w:val="single" w:color="auto" w:sz="4" w:space="0"/>
              <w:left w:val="nil"/>
              <w:bottom w:val="single" w:color="auto" w:sz="4" w:space="0"/>
              <w:right w:val="single" w:color="auto" w:sz="4" w:space="0"/>
            </w:tcBorders>
            <w:noWrap/>
            <w:vAlign w:val="center"/>
          </w:tcPr>
          <w:p>
            <w:pPr>
              <w:widowControl/>
              <w:jc w:val="center"/>
              <w:rPr>
                <w:sz w:val="24"/>
              </w:rPr>
            </w:pPr>
            <w:r>
              <w:rPr>
                <w:rFonts w:hint="eastAsia"/>
                <w:sz w:val="24"/>
              </w:rPr>
              <w:t>PET/CT局部</w:t>
            </w:r>
          </w:p>
        </w:tc>
        <w:tc>
          <w:tcPr>
            <w:tcW w:w="3716" w:type="dxa"/>
            <w:gridSpan w:val="2"/>
            <w:tcBorders>
              <w:top w:val="single" w:color="auto" w:sz="4" w:space="0"/>
              <w:left w:val="nil"/>
              <w:bottom w:val="single" w:color="auto" w:sz="4" w:space="0"/>
              <w:right w:val="single" w:color="auto" w:sz="4" w:space="0"/>
            </w:tcBorders>
            <w:noWrap/>
            <w:vAlign w:val="center"/>
          </w:tcPr>
          <w:p>
            <w:pPr>
              <w:widowControl/>
              <w:jc w:val="center"/>
              <w:rPr>
                <w:sz w:val="24"/>
              </w:rPr>
            </w:pPr>
            <w:r>
              <w:rPr>
                <w:rFonts w:hint="eastAsia"/>
                <w:sz w:val="24"/>
              </w:rPr>
              <w:t>PET/CT全身</w:t>
            </w:r>
          </w:p>
        </w:tc>
      </w:tr>
      <w:tr>
        <w:tblPrEx>
          <w:tblCellMar>
            <w:top w:w="0" w:type="dxa"/>
            <w:left w:w="108" w:type="dxa"/>
            <w:bottom w:w="0" w:type="dxa"/>
            <w:right w:w="108" w:type="dxa"/>
          </w:tblCellMar>
        </w:tblPrEx>
        <w:trPr>
          <w:trHeight w:val="366" w:hRule="atLeast"/>
        </w:trPr>
        <w:tc>
          <w:tcPr>
            <w:tcW w:w="1784" w:type="dxa"/>
            <w:vMerge w:val="continue"/>
            <w:tcBorders>
              <w:top w:val="single" w:color="auto" w:sz="4" w:space="0"/>
              <w:left w:val="single" w:color="auto" w:sz="4" w:space="0"/>
              <w:bottom w:val="single" w:color="auto" w:sz="4" w:space="0"/>
              <w:right w:val="single" w:color="auto" w:sz="4" w:space="0"/>
              <w:tl2br w:val="single" w:color="auto" w:sz="4" w:space="0"/>
            </w:tcBorders>
            <w:vAlign w:val="center"/>
          </w:tcPr>
          <w:p>
            <w:pPr>
              <w:widowControl/>
              <w:rPr>
                <w:sz w:val="24"/>
              </w:rPr>
            </w:pPr>
          </w:p>
        </w:tc>
        <w:tc>
          <w:tcPr>
            <w:tcW w:w="1555"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项目/编码</w:t>
            </w:r>
          </w:p>
        </w:tc>
        <w:tc>
          <w:tcPr>
            <w:tcW w:w="929"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价格</w:t>
            </w:r>
          </w:p>
        </w:tc>
        <w:tc>
          <w:tcPr>
            <w:tcW w:w="2688" w:type="dxa"/>
            <w:gridSpan w:val="2"/>
            <w:tcBorders>
              <w:top w:val="nil"/>
              <w:left w:val="nil"/>
              <w:bottom w:val="single" w:color="auto" w:sz="4" w:space="0"/>
              <w:right w:val="single" w:color="auto" w:sz="4" w:space="0"/>
            </w:tcBorders>
            <w:noWrap/>
            <w:vAlign w:val="center"/>
          </w:tcPr>
          <w:p>
            <w:pPr>
              <w:widowControl/>
              <w:jc w:val="center"/>
              <w:rPr>
                <w:sz w:val="24"/>
              </w:rPr>
            </w:pPr>
            <w:r>
              <w:rPr>
                <w:rFonts w:hint="eastAsia"/>
                <w:sz w:val="24"/>
              </w:rPr>
              <w:t>项目/编码</w:t>
            </w:r>
          </w:p>
        </w:tc>
        <w:tc>
          <w:tcPr>
            <w:tcW w:w="1036"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价格</w:t>
            </w:r>
          </w:p>
        </w:tc>
      </w:tr>
      <w:tr>
        <w:tblPrEx>
          <w:tblCellMar>
            <w:top w:w="0" w:type="dxa"/>
            <w:left w:w="108" w:type="dxa"/>
            <w:bottom w:w="0" w:type="dxa"/>
            <w:right w:w="108" w:type="dxa"/>
          </w:tblCellMar>
        </w:tblPrEx>
        <w:trPr>
          <w:trHeight w:val="409" w:hRule="atLeast"/>
        </w:trPr>
        <w:tc>
          <w:tcPr>
            <w:tcW w:w="1784" w:type="dxa"/>
            <w:tcBorders>
              <w:top w:val="nil"/>
              <w:left w:val="single" w:color="auto" w:sz="4" w:space="0"/>
              <w:bottom w:val="single" w:color="auto" w:sz="4" w:space="0"/>
              <w:right w:val="single" w:color="auto" w:sz="4" w:space="0"/>
            </w:tcBorders>
            <w:noWrap/>
            <w:vAlign w:val="center"/>
          </w:tcPr>
          <w:p>
            <w:pPr>
              <w:widowControl/>
              <w:jc w:val="center"/>
              <w:rPr>
                <w:sz w:val="24"/>
              </w:rPr>
            </w:pPr>
            <w:r>
              <w:rPr>
                <w:rFonts w:hint="eastAsia"/>
                <w:sz w:val="24"/>
              </w:rPr>
              <w:t>PET</w:t>
            </w:r>
          </w:p>
        </w:tc>
        <w:tc>
          <w:tcPr>
            <w:tcW w:w="1555"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230400010</w:t>
            </w:r>
          </w:p>
        </w:tc>
        <w:tc>
          <w:tcPr>
            <w:tcW w:w="929"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3000</w:t>
            </w:r>
          </w:p>
        </w:tc>
        <w:tc>
          <w:tcPr>
            <w:tcW w:w="2688" w:type="dxa"/>
            <w:gridSpan w:val="2"/>
            <w:tcBorders>
              <w:top w:val="nil"/>
              <w:left w:val="nil"/>
              <w:bottom w:val="single" w:color="auto" w:sz="4" w:space="0"/>
              <w:right w:val="single" w:color="auto" w:sz="4" w:space="0"/>
            </w:tcBorders>
            <w:noWrap/>
            <w:vAlign w:val="center"/>
          </w:tcPr>
          <w:p>
            <w:pPr>
              <w:widowControl/>
              <w:jc w:val="center"/>
              <w:rPr>
                <w:sz w:val="24"/>
              </w:rPr>
            </w:pPr>
            <w:r>
              <w:rPr>
                <w:rFonts w:hint="eastAsia"/>
                <w:sz w:val="24"/>
              </w:rPr>
              <w:t>230400010</w:t>
            </w:r>
          </w:p>
        </w:tc>
        <w:tc>
          <w:tcPr>
            <w:tcW w:w="1036"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6000</w:t>
            </w:r>
          </w:p>
        </w:tc>
      </w:tr>
      <w:tr>
        <w:tblPrEx>
          <w:tblCellMar>
            <w:top w:w="0" w:type="dxa"/>
            <w:left w:w="108" w:type="dxa"/>
            <w:bottom w:w="0" w:type="dxa"/>
            <w:right w:w="108" w:type="dxa"/>
          </w:tblCellMar>
        </w:tblPrEx>
        <w:trPr>
          <w:trHeight w:val="409" w:hRule="atLeast"/>
        </w:trPr>
        <w:tc>
          <w:tcPr>
            <w:tcW w:w="1784" w:type="dxa"/>
            <w:tcBorders>
              <w:top w:val="nil"/>
              <w:left w:val="single" w:color="auto" w:sz="4" w:space="0"/>
              <w:bottom w:val="single" w:color="auto" w:sz="4" w:space="0"/>
              <w:right w:val="single" w:color="auto" w:sz="4" w:space="0"/>
            </w:tcBorders>
            <w:noWrap/>
            <w:vAlign w:val="center"/>
          </w:tcPr>
          <w:p>
            <w:pPr>
              <w:widowControl/>
              <w:jc w:val="center"/>
              <w:rPr>
                <w:sz w:val="24"/>
              </w:rPr>
            </w:pPr>
            <w:r>
              <w:rPr>
                <w:rFonts w:hint="eastAsia"/>
                <w:sz w:val="24"/>
              </w:rPr>
              <w:t>同位素药物</w:t>
            </w:r>
          </w:p>
        </w:tc>
        <w:tc>
          <w:tcPr>
            <w:tcW w:w="1555"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18F-FDG</w:t>
            </w:r>
          </w:p>
        </w:tc>
        <w:tc>
          <w:tcPr>
            <w:tcW w:w="929"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3800</w:t>
            </w:r>
          </w:p>
        </w:tc>
        <w:tc>
          <w:tcPr>
            <w:tcW w:w="2688" w:type="dxa"/>
            <w:gridSpan w:val="2"/>
            <w:tcBorders>
              <w:top w:val="nil"/>
              <w:left w:val="nil"/>
              <w:bottom w:val="single" w:color="auto" w:sz="4" w:space="0"/>
              <w:right w:val="single" w:color="auto" w:sz="4" w:space="0"/>
            </w:tcBorders>
            <w:noWrap/>
            <w:vAlign w:val="center"/>
          </w:tcPr>
          <w:p>
            <w:pPr>
              <w:widowControl/>
              <w:jc w:val="center"/>
              <w:rPr>
                <w:sz w:val="24"/>
              </w:rPr>
            </w:pPr>
            <w:r>
              <w:rPr>
                <w:rFonts w:hint="eastAsia"/>
                <w:sz w:val="24"/>
              </w:rPr>
              <w:t>18F-FDG</w:t>
            </w:r>
          </w:p>
        </w:tc>
        <w:tc>
          <w:tcPr>
            <w:tcW w:w="1036"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3800</w:t>
            </w:r>
          </w:p>
        </w:tc>
      </w:tr>
      <w:tr>
        <w:tblPrEx>
          <w:tblCellMar>
            <w:top w:w="0" w:type="dxa"/>
            <w:left w:w="108" w:type="dxa"/>
            <w:bottom w:w="0" w:type="dxa"/>
            <w:right w:w="108" w:type="dxa"/>
          </w:tblCellMar>
        </w:tblPrEx>
        <w:trPr>
          <w:trHeight w:val="409" w:hRule="atLeast"/>
        </w:trPr>
        <w:tc>
          <w:tcPr>
            <w:tcW w:w="1784" w:type="dxa"/>
            <w:tcBorders>
              <w:top w:val="nil"/>
              <w:left w:val="single" w:color="auto" w:sz="4" w:space="0"/>
              <w:bottom w:val="single" w:color="auto" w:sz="4" w:space="0"/>
              <w:right w:val="nil"/>
            </w:tcBorders>
            <w:noWrap/>
            <w:vAlign w:val="center"/>
          </w:tcPr>
          <w:p>
            <w:pPr>
              <w:widowControl/>
              <w:jc w:val="center"/>
              <w:rPr>
                <w:sz w:val="24"/>
              </w:rPr>
            </w:pPr>
            <w:r>
              <w:rPr>
                <w:rFonts w:hint="eastAsia"/>
                <w:sz w:val="24"/>
              </w:rPr>
              <w:t>总价</w:t>
            </w:r>
          </w:p>
        </w:tc>
        <w:tc>
          <w:tcPr>
            <w:tcW w:w="1555" w:type="dxa"/>
            <w:tcBorders>
              <w:top w:val="nil"/>
              <w:left w:val="single" w:color="auto" w:sz="4" w:space="0"/>
              <w:bottom w:val="single" w:color="auto" w:sz="4" w:space="0"/>
              <w:right w:val="single" w:color="auto" w:sz="4" w:space="0"/>
            </w:tcBorders>
            <w:noWrap/>
            <w:vAlign w:val="center"/>
          </w:tcPr>
          <w:p>
            <w:pPr>
              <w:widowControl/>
              <w:jc w:val="center"/>
              <w:rPr>
                <w:sz w:val="24"/>
              </w:rPr>
            </w:pPr>
            <w:r>
              <w:rPr>
                <w:rFonts w:hint="eastAsia"/>
                <w:sz w:val="24"/>
              </w:rPr>
              <w:t>/</w:t>
            </w:r>
          </w:p>
        </w:tc>
        <w:tc>
          <w:tcPr>
            <w:tcW w:w="929"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6800</w:t>
            </w:r>
          </w:p>
        </w:tc>
        <w:tc>
          <w:tcPr>
            <w:tcW w:w="2688" w:type="dxa"/>
            <w:gridSpan w:val="2"/>
            <w:tcBorders>
              <w:top w:val="nil"/>
              <w:left w:val="nil"/>
              <w:bottom w:val="single" w:color="auto" w:sz="4" w:space="0"/>
              <w:right w:val="single" w:color="auto" w:sz="4" w:space="0"/>
            </w:tcBorders>
            <w:noWrap/>
            <w:vAlign w:val="center"/>
          </w:tcPr>
          <w:p>
            <w:pPr>
              <w:widowControl/>
              <w:jc w:val="center"/>
              <w:rPr>
                <w:sz w:val="24"/>
              </w:rPr>
            </w:pPr>
            <w:r>
              <w:rPr>
                <w:rFonts w:hint="eastAsia"/>
                <w:sz w:val="24"/>
              </w:rPr>
              <w:t>/</w:t>
            </w:r>
          </w:p>
        </w:tc>
        <w:tc>
          <w:tcPr>
            <w:tcW w:w="1036"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9800</w:t>
            </w:r>
          </w:p>
        </w:tc>
      </w:tr>
      <w:tr>
        <w:tblPrEx>
          <w:tblCellMar>
            <w:top w:w="0" w:type="dxa"/>
            <w:left w:w="108" w:type="dxa"/>
            <w:bottom w:w="0" w:type="dxa"/>
            <w:right w:w="108" w:type="dxa"/>
          </w:tblCellMar>
        </w:tblPrEx>
        <w:trPr>
          <w:trHeight w:val="409" w:hRule="atLeast"/>
        </w:trPr>
        <w:tc>
          <w:tcPr>
            <w:tcW w:w="7992" w:type="dxa"/>
            <w:gridSpan w:val="6"/>
            <w:tcBorders>
              <w:top w:val="single" w:color="auto" w:sz="4" w:space="0"/>
              <w:left w:val="single" w:color="auto" w:sz="4" w:space="0"/>
              <w:bottom w:val="single" w:color="auto" w:sz="4" w:space="0"/>
              <w:right w:val="single" w:color="auto" w:sz="4" w:space="0"/>
            </w:tcBorders>
            <w:noWrap/>
            <w:vAlign w:val="center"/>
          </w:tcPr>
          <w:p>
            <w:pPr>
              <w:widowControl/>
              <w:rPr>
                <w:sz w:val="24"/>
              </w:rPr>
            </w:pPr>
            <w:r>
              <w:rPr>
                <w:rFonts w:hint="eastAsia"/>
                <w:sz w:val="24"/>
              </w:rPr>
              <w:t>项目编码出处为：成都市医疗服务项目与价格汇报（2016版）</w:t>
            </w:r>
          </w:p>
        </w:tc>
      </w:tr>
    </w:tbl>
    <w:p>
      <w:pPr>
        <w:pStyle w:val="2"/>
        <w:tabs>
          <w:tab w:val="left" w:pos="0"/>
        </w:tabs>
        <w:rPr>
          <w:rFonts w:hint="eastAsia"/>
          <w:lang w:eastAsia="zh-CN"/>
        </w:rPr>
      </w:pPr>
      <w:r>
        <w:rPr>
          <w:rFonts w:hint="eastAsia"/>
          <w:lang w:eastAsia="zh-CN"/>
        </w:rPr>
        <w:t>备注：价格如遇国家政策调整,以新发布的政策为准。</w:t>
      </w:r>
    </w:p>
    <w:p>
      <w:pPr>
        <w:spacing w:line="360" w:lineRule="auto"/>
        <w:ind w:firstLine="492" w:firstLineChars="176"/>
        <w:rPr>
          <w:sz w:val="28"/>
          <w:szCs w:val="28"/>
        </w:rPr>
      </w:pPr>
      <w:r>
        <w:rPr>
          <w:rFonts w:hint="eastAsia"/>
          <w:sz w:val="28"/>
          <w:szCs w:val="28"/>
        </w:rPr>
        <w:t>表2、PET/MRI费用标准组成及依据</w:t>
      </w:r>
    </w:p>
    <w:p/>
    <w:tbl>
      <w:tblPr>
        <w:tblStyle w:val="15"/>
        <w:tblW w:w="7949" w:type="dxa"/>
        <w:tblInd w:w="0" w:type="dxa"/>
        <w:tblLayout w:type="autofit"/>
        <w:tblCellMar>
          <w:top w:w="0" w:type="dxa"/>
          <w:left w:w="108" w:type="dxa"/>
          <w:bottom w:w="0" w:type="dxa"/>
          <w:right w:w="108" w:type="dxa"/>
        </w:tblCellMar>
      </w:tblPr>
      <w:tblGrid>
        <w:gridCol w:w="1623"/>
        <w:gridCol w:w="1829"/>
        <w:gridCol w:w="883"/>
        <w:gridCol w:w="2445"/>
        <w:gridCol w:w="1169"/>
      </w:tblGrid>
      <w:tr>
        <w:tblPrEx>
          <w:tblCellMar>
            <w:top w:w="0" w:type="dxa"/>
            <w:left w:w="108" w:type="dxa"/>
            <w:bottom w:w="0" w:type="dxa"/>
            <w:right w:w="108" w:type="dxa"/>
          </w:tblCellMar>
        </w:tblPrEx>
        <w:trPr>
          <w:trHeight w:val="370" w:hRule="atLeast"/>
        </w:trPr>
        <w:tc>
          <w:tcPr>
            <w:tcW w:w="1623" w:type="dxa"/>
            <w:vMerge w:val="restart"/>
            <w:tcBorders>
              <w:top w:val="single" w:color="auto" w:sz="4" w:space="0"/>
              <w:left w:val="single" w:color="auto" w:sz="4" w:space="0"/>
              <w:bottom w:val="single" w:color="auto" w:sz="4" w:space="0"/>
              <w:right w:val="single" w:color="auto" w:sz="4" w:space="0"/>
              <w:tl2br w:val="single" w:color="auto" w:sz="4" w:space="0"/>
            </w:tcBorders>
            <w:vAlign w:val="bottom"/>
          </w:tcPr>
          <w:p>
            <w:pPr>
              <w:widowControl/>
              <w:rPr>
                <w:sz w:val="24"/>
              </w:rPr>
            </w:pPr>
            <w:r>
              <w:rPr>
                <w:rFonts w:hint="eastAsia"/>
                <w:sz w:val="24"/>
              </w:rPr>
              <w:t xml:space="preserve">       项目</w:t>
            </w:r>
            <w:r>
              <w:rPr>
                <w:rFonts w:hint="eastAsia"/>
                <w:sz w:val="24"/>
              </w:rPr>
              <w:br w:type="textWrapping"/>
            </w:r>
            <w:r>
              <w:rPr>
                <w:rFonts w:hint="eastAsia"/>
                <w:sz w:val="24"/>
              </w:rPr>
              <w:t>类别</w:t>
            </w:r>
          </w:p>
        </w:tc>
        <w:tc>
          <w:tcPr>
            <w:tcW w:w="2712" w:type="dxa"/>
            <w:gridSpan w:val="2"/>
            <w:tcBorders>
              <w:top w:val="single" w:color="auto" w:sz="4" w:space="0"/>
              <w:left w:val="nil"/>
              <w:bottom w:val="single" w:color="auto" w:sz="4" w:space="0"/>
              <w:right w:val="single" w:color="auto" w:sz="4" w:space="0"/>
            </w:tcBorders>
            <w:noWrap/>
            <w:vAlign w:val="center"/>
          </w:tcPr>
          <w:p>
            <w:pPr>
              <w:widowControl/>
              <w:jc w:val="center"/>
              <w:rPr>
                <w:sz w:val="24"/>
              </w:rPr>
            </w:pPr>
            <w:r>
              <w:rPr>
                <w:rFonts w:hint="eastAsia"/>
                <w:sz w:val="24"/>
              </w:rPr>
              <w:t>PET/MR局部</w:t>
            </w:r>
          </w:p>
        </w:tc>
        <w:tc>
          <w:tcPr>
            <w:tcW w:w="3614" w:type="dxa"/>
            <w:gridSpan w:val="2"/>
            <w:tcBorders>
              <w:top w:val="single" w:color="auto" w:sz="4" w:space="0"/>
              <w:left w:val="nil"/>
              <w:bottom w:val="single" w:color="auto" w:sz="4" w:space="0"/>
              <w:right w:val="single" w:color="auto" w:sz="4" w:space="0"/>
            </w:tcBorders>
            <w:noWrap/>
            <w:vAlign w:val="center"/>
          </w:tcPr>
          <w:p>
            <w:pPr>
              <w:widowControl/>
              <w:jc w:val="center"/>
              <w:rPr>
                <w:sz w:val="24"/>
              </w:rPr>
            </w:pPr>
            <w:r>
              <w:rPr>
                <w:rFonts w:hint="eastAsia"/>
                <w:sz w:val="24"/>
              </w:rPr>
              <w:t>PET/MR全身</w:t>
            </w:r>
          </w:p>
        </w:tc>
      </w:tr>
      <w:tr>
        <w:tblPrEx>
          <w:tblCellMar>
            <w:top w:w="0" w:type="dxa"/>
            <w:left w:w="108" w:type="dxa"/>
            <w:bottom w:w="0" w:type="dxa"/>
            <w:right w:w="108" w:type="dxa"/>
          </w:tblCellMar>
        </w:tblPrEx>
        <w:trPr>
          <w:trHeight w:val="370" w:hRule="atLeast"/>
        </w:trPr>
        <w:tc>
          <w:tcPr>
            <w:tcW w:w="1623" w:type="dxa"/>
            <w:vMerge w:val="continue"/>
            <w:tcBorders>
              <w:top w:val="single" w:color="auto" w:sz="4" w:space="0"/>
              <w:left w:val="single" w:color="auto" w:sz="4" w:space="0"/>
              <w:bottom w:val="single" w:color="auto" w:sz="4" w:space="0"/>
              <w:right w:val="single" w:color="auto" w:sz="4" w:space="0"/>
              <w:tl2br w:val="single" w:color="auto" w:sz="4" w:space="0"/>
            </w:tcBorders>
            <w:vAlign w:val="center"/>
          </w:tcPr>
          <w:p>
            <w:pPr>
              <w:widowControl/>
              <w:rPr>
                <w:sz w:val="24"/>
              </w:rPr>
            </w:pPr>
          </w:p>
        </w:tc>
        <w:tc>
          <w:tcPr>
            <w:tcW w:w="1829"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项目/编码</w:t>
            </w:r>
          </w:p>
        </w:tc>
        <w:tc>
          <w:tcPr>
            <w:tcW w:w="883"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价格</w:t>
            </w:r>
          </w:p>
        </w:tc>
        <w:tc>
          <w:tcPr>
            <w:tcW w:w="2445"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项目/编码</w:t>
            </w:r>
          </w:p>
        </w:tc>
        <w:tc>
          <w:tcPr>
            <w:tcW w:w="1169"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价格</w:t>
            </w:r>
          </w:p>
        </w:tc>
      </w:tr>
      <w:tr>
        <w:tblPrEx>
          <w:tblCellMar>
            <w:top w:w="0" w:type="dxa"/>
            <w:left w:w="108" w:type="dxa"/>
            <w:bottom w:w="0" w:type="dxa"/>
            <w:right w:w="108" w:type="dxa"/>
          </w:tblCellMar>
        </w:tblPrEx>
        <w:trPr>
          <w:trHeight w:val="414" w:hRule="atLeast"/>
        </w:trPr>
        <w:tc>
          <w:tcPr>
            <w:tcW w:w="1623" w:type="dxa"/>
            <w:tcBorders>
              <w:top w:val="nil"/>
              <w:left w:val="single" w:color="auto" w:sz="4" w:space="0"/>
              <w:bottom w:val="single" w:color="auto" w:sz="4" w:space="0"/>
              <w:right w:val="single" w:color="auto" w:sz="4" w:space="0"/>
            </w:tcBorders>
            <w:noWrap/>
            <w:vAlign w:val="center"/>
          </w:tcPr>
          <w:p>
            <w:pPr>
              <w:widowControl/>
              <w:jc w:val="center"/>
              <w:rPr>
                <w:sz w:val="24"/>
              </w:rPr>
            </w:pPr>
            <w:r>
              <w:rPr>
                <w:rFonts w:hint="eastAsia"/>
                <w:sz w:val="24"/>
              </w:rPr>
              <w:t>PET</w:t>
            </w:r>
          </w:p>
        </w:tc>
        <w:tc>
          <w:tcPr>
            <w:tcW w:w="1829" w:type="dxa"/>
            <w:tcBorders>
              <w:top w:val="nil"/>
              <w:left w:val="nil"/>
              <w:bottom w:val="single" w:color="auto" w:sz="4" w:space="0"/>
              <w:right w:val="single" w:color="auto" w:sz="4" w:space="0"/>
            </w:tcBorders>
            <w:noWrap/>
            <w:vAlign w:val="center"/>
          </w:tcPr>
          <w:p>
            <w:pPr>
              <w:widowControl/>
              <w:jc w:val="center"/>
              <w:rPr>
                <w:rFonts w:hint="eastAsia" w:eastAsiaTheme="minorEastAsia"/>
                <w:sz w:val="24"/>
                <w:lang w:eastAsia="zh-CN"/>
              </w:rPr>
            </w:pPr>
            <w:r>
              <w:rPr>
                <w:rFonts w:hint="eastAsia"/>
                <w:sz w:val="24"/>
              </w:rPr>
              <w:t>230400011-</w:t>
            </w:r>
            <w:r>
              <w:rPr>
                <w:rFonts w:hint="eastAsia"/>
                <w:sz w:val="24"/>
                <w:lang w:val="en-US" w:eastAsia="zh-CN"/>
              </w:rPr>
              <w:t>1</w:t>
            </w:r>
          </w:p>
        </w:tc>
        <w:tc>
          <w:tcPr>
            <w:tcW w:w="883"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5245</w:t>
            </w:r>
          </w:p>
        </w:tc>
        <w:tc>
          <w:tcPr>
            <w:tcW w:w="2445"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230400011-2</w:t>
            </w:r>
          </w:p>
        </w:tc>
        <w:tc>
          <w:tcPr>
            <w:tcW w:w="1169"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10438</w:t>
            </w:r>
          </w:p>
        </w:tc>
      </w:tr>
      <w:tr>
        <w:tblPrEx>
          <w:tblCellMar>
            <w:top w:w="0" w:type="dxa"/>
            <w:left w:w="108" w:type="dxa"/>
            <w:bottom w:w="0" w:type="dxa"/>
            <w:right w:w="108" w:type="dxa"/>
          </w:tblCellMar>
        </w:tblPrEx>
        <w:trPr>
          <w:trHeight w:val="414" w:hRule="atLeast"/>
        </w:trPr>
        <w:tc>
          <w:tcPr>
            <w:tcW w:w="1623" w:type="dxa"/>
            <w:tcBorders>
              <w:top w:val="nil"/>
              <w:left w:val="single" w:color="auto" w:sz="4" w:space="0"/>
              <w:bottom w:val="single" w:color="auto" w:sz="4" w:space="0"/>
              <w:right w:val="single" w:color="auto" w:sz="4" w:space="0"/>
            </w:tcBorders>
            <w:noWrap/>
            <w:vAlign w:val="center"/>
          </w:tcPr>
          <w:p>
            <w:pPr>
              <w:widowControl/>
              <w:jc w:val="center"/>
              <w:rPr>
                <w:sz w:val="24"/>
              </w:rPr>
            </w:pPr>
            <w:r>
              <w:rPr>
                <w:rFonts w:hint="eastAsia"/>
                <w:sz w:val="24"/>
              </w:rPr>
              <w:t>同位素药物</w:t>
            </w:r>
          </w:p>
        </w:tc>
        <w:tc>
          <w:tcPr>
            <w:tcW w:w="1829"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18F-FDG</w:t>
            </w:r>
          </w:p>
        </w:tc>
        <w:tc>
          <w:tcPr>
            <w:tcW w:w="883"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3800</w:t>
            </w:r>
          </w:p>
        </w:tc>
        <w:tc>
          <w:tcPr>
            <w:tcW w:w="2445"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18F-FDG</w:t>
            </w:r>
          </w:p>
        </w:tc>
        <w:tc>
          <w:tcPr>
            <w:tcW w:w="1169"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3800</w:t>
            </w:r>
          </w:p>
        </w:tc>
      </w:tr>
      <w:tr>
        <w:tblPrEx>
          <w:tblCellMar>
            <w:top w:w="0" w:type="dxa"/>
            <w:left w:w="108" w:type="dxa"/>
            <w:bottom w:w="0" w:type="dxa"/>
            <w:right w:w="108" w:type="dxa"/>
          </w:tblCellMar>
        </w:tblPrEx>
        <w:trPr>
          <w:trHeight w:val="414" w:hRule="atLeast"/>
        </w:trPr>
        <w:tc>
          <w:tcPr>
            <w:tcW w:w="1623" w:type="dxa"/>
            <w:tcBorders>
              <w:top w:val="nil"/>
              <w:left w:val="single" w:color="auto" w:sz="4" w:space="0"/>
              <w:bottom w:val="single" w:color="auto" w:sz="4" w:space="0"/>
              <w:right w:val="nil"/>
            </w:tcBorders>
            <w:noWrap/>
            <w:vAlign w:val="center"/>
          </w:tcPr>
          <w:p>
            <w:pPr>
              <w:widowControl/>
              <w:jc w:val="center"/>
              <w:rPr>
                <w:sz w:val="24"/>
              </w:rPr>
            </w:pPr>
            <w:r>
              <w:rPr>
                <w:rFonts w:hint="eastAsia"/>
                <w:sz w:val="24"/>
              </w:rPr>
              <w:t>总价</w:t>
            </w:r>
          </w:p>
        </w:tc>
        <w:tc>
          <w:tcPr>
            <w:tcW w:w="1829" w:type="dxa"/>
            <w:tcBorders>
              <w:top w:val="nil"/>
              <w:left w:val="single" w:color="auto" w:sz="4" w:space="0"/>
              <w:bottom w:val="single" w:color="auto" w:sz="4" w:space="0"/>
              <w:right w:val="single" w:color="auto" w:sz="4" w:space="0"/>
            </w:tcBorders>
            <w:noWrap/>
            <w:vAlign w:val="center"/>
          </w:tcPr>
          <w:p>
            <w:pPr>
              <w:widowControl/>
              <w:jc w:val="center"/>
              <w:rPr>
                <w:sz w:val="24"/>
              </w:rPr>
            </w:pPr>
            <w:r>
              <w:rPr>
                <w:rFonts w:hint="eastAsia"/>
                <w:sz w:val="24"/>
              </w:rPr>
              <w:t>/</w:t>
            </w:r>
          </w:p>
        </w:tc>
        <w:tc>
          <w:tcPr>
            <w:tcW w:w="883"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9045</w:t>
            </w:r>
          </w:p>
        </w:tc>
        <w:tc>
          <w:tcPr>
            <w:tcW w:w="2445"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w:t>
            </w:r>
          </w:p>
        </w:tc>
        <w:tc>
          <w:tcPr>
            <w:tcW w:w="1169" w:type="dxa"/>
            <w:tcBorders>
              <w:top w:val="nil"/>
              <w:left w:val="nil"/>
              <w:bottom w:val="single" w:color="auto" w:sz="4" w:space="0"/>
              <w:right w:val="single" w:color="auto" w:sz="4" w:space="0"/>
            </w:tcBorders>
            <w:noWrap/>
            <w:vAlign w:val="center"/>
          </w:tcPr>
          <w:p>
            <w:pPr>
              <w:widowControl/>
              <w:jc w:val="center"/>
              <w:rPr>
                <w:sz w:val="24"/>
              </w:rPr>
            </w:pPr>
            <w:r>
              <w:rPr>
                <w:rFonts w:hint="eastAsia"/>
                <w:sz w:val="24"/>
              </w:rPr>
              <w:t>14238</w:t>
            </w:r>
          </w:p>
        </w:tc>
      </w:tr>
      <w:tr>
        <w:tblPrEx>
          <w:tblCellMar>
            <w:top w:w="0" w:type="dxa"/>
            <w:left w:w="108" w:type="dxa"/>
            <w:bottom w:w="0" w:type="dxa"/>
            <w:right w:w="108" w:type="dxa"/>
          </w:tblCellMar>
        </w:tblPrEx>
        <w:trPr>
          <w:trHeight w:val="414" w:hRule="atLeast"/>
        </w:trPr>
        <w:tc>
          <w:tcPr>
            <w:tcW w:w="7949" w:type="dxa"/>
            <w:gridSpan w:val="5"/>
            <w:tcBorders>
              <w:top w:val="single" w:color="auto" w:sz="4" w:space="0"/>
              <w:left w:val="single" w:color="auto" w:sz="4" w:space="0"/>
              <w:bottom w:val="single" w:color="auto" w:sz="4" w:space="0"/>
              <w:right w:val="single" w:color="auto" w:sz="4" w:space="0"/>
            </w:tcBorders>
            <w:noWrap/>
            <w:vAlign w:val="center"/>
          </w:tcPr>
          <w:p>
            <w:pPr>
              <w:widowControl/>
              <w:rPr>
                <w:sz w:val="24"/>
              </w:rPr>
            </w:pPr>
            <w:r>
              <w:rPr>
                <w:rFonts w:hint="eastAsia"/>
                <w:sz w:val="24"/>
              </w:rPr>
              <w:t>项目编码出处为：</w:t>
            </w:r>
          </w:p>
          <w:p>
            <w:pPr>
              <w:widowControl/>
              <w:rPr>
                <w:sz w:val="24"/>
              </w:rPr>
            </w:pPr>
            <w:r>
              <w:rPr>
                <w:rFonts w:hint="eastAsia"/>
                <w:sz w:val="24"/>
              </w:rPr>
              <w:t>《四川省2021年第一批新增医疗服务项目省管公立医院拟定试行价格表》</w:t>
            </w:r>
          </w:p>
        </w:tc>
      </w:tr>
    </w:tbl>
    <w:p>
      <w:pPr>
        <w:pStyle w:val="2"/>
        <w:tabs>
          <w:tab w:val="left" w:pos="0"/>
        </w:tabs>
        <w:rPr>
          <w:rFonts w:hint="eastAsia" w:eastAsiaTheme="minorEastAsia"/>
          <w:lang w:eastAsia="zh-CN"/>
        </w:rPr>
        <w:sectPr>
          <w:pgSz w:w="11906" w:h="16838"/>
          <w:pgMar w:top="1440" w:right="1800" w:bottom="1440" w:left="1800" w:header="851" w:footer="992" w:gutter="0"/>
          <w:cols w:space="720" w:num="1"/>
          <w:docGrid w:type="lines" w:linePitch="312" w:charSpace="0"/>
        </w:sectPr>
      </w:pPr>
      <w:r>
        <w:rPr>
          <w:rFonts w:hint="eastAsia"/>
          <w:lang w:eastAsia="zh-CN"/>
        </w:rPr>
        <w:t>备注：价格如遇国家政策调整,以新发布的政策为准。</w:t>
      </w:r>
    </w:p>
    <w:p>
      <w:pPr>
        <w:pStyle w:val="2"/>
        <w:rPr>
          <w:rFonts w:hint="eastAsia"/>
        </w:rPr>
      </w:pPr>
    </w:p>
    <w:sectPr>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NGRhZTE4ZDQ1NWU0NTliNDQ5YTk5NzNjMzQ3MzEifQ=="/>
  </w:docVars>
  <w:rsids>
    <w:rsidRoot w:val="0084521A"/>
    <w:rsid w:val="0000187B"/>
    <w:rsid w:val="0000394B"/>
    <w:rsid w:val="00011D30"/>
    <w:rsid w:val="000127C8"/>
    <w:rsid w:val="00014C18"/>
    <w:rsid w:val="00023897"/>
    <w:rsid w:val="00023995"/>
    <w:rsid w:val="000309FD"/>
    <w:rsid w:val="00033DCD"/>
    <w:rsid w:val="00046C49"/>
    <w:rsid w:val="00046CCF"/>
    <w:rsid w:val="00056508"/>
    <w:rsid w:val="00060375"/>
    <w:rsid w:val="00071BBD"/>
    <w:rsid w:val="00071E3F"/>
    <w:rsid w:val="000736D6"/>
    <w:rsid w:val="00073BEF"/>
    <w:rsid w:val="000754AE"/>
    <w:rsid w:val="00075CC1"/>
    <w:rsid w:val="0007611E"/>
    <w:rsid w:val="00082792"/>
    <w:rsid w:val="00083723"/>
    <w:rsid w:val="0008442E"/>
    <w:rsid w:val="00090A87"/>
    <w:rsid w:val="00092ED7"/>
    <w:rsid w:val="0009763B"/>
    <w:rsid w:val="000A47ED"/>
    <w:rsid w:val="000A749D"/>
    <w:rsid w:val="000A76CE"/>
    <w:rsid w:val="000B08FF"/>
    <w:rsid w:val="000B0ED2"/>
    <w:rsid w:val="000B68BF"/>
    <w:rsid w:val="000B6CC8"/>
    <w:rsid w:val="000D0913"/>
    <w:rsid w:val="000D74CE"/>
    <w:rsid w:val="000D7BAC"/>
    <w:rsid w:val="000E2823"/>
    <w:rsid w:val="000E3B57"/>
    <w:rsid w:val="000E4D44"/>
    <w:rsid w:val="000E54C3"/>
    <w:rsid w:val="000E7125"/>
    <w:rsid w:val="000F6CD8"/>
    <w:rsid w:val="00107EB7"/>
    <w:rsid w:val="0011674C"/>
    <w:rsid w:val="001255F0"/>
    <w:rsid w:val="00126E49"/>
    <w:rsid w:val="001318A8"/>
    <w:rsid w:val="00132EED"/>
    <w:rsid w:val="00132F1A"/>
    <w:rsid w:val="0013420C"/>
    <w:rsid w:val="0014055D"/>
    <w:rsid w:val="00140A8E"/>
    <w:rsid w:val="001434E6"/>
    <w:rsid w:val="0014421D"/>
    <w:rsid w:val="00152D4B"/>
    <w:rsid w:val="001548FD"/>
    <w:rsid w:val="00154CE2"/>
    <w:rsid w:val="00164999"/>
    <w:rsid w:val="00165669"/>
    <w:rsid w:val="001723D2"/>
    <w:rsid w:val="00172458"/>
    <w:rsid w:val="00182835"/>
    <w:rsid w:val="00187E6D"/>
    <w:rsid w:val="001905B1"/>
    <w:rsid w:val="0019196E"/>
    <w:rsid w:val="00192463"/>
    <w:rsid w:val="00195331"/>
    <w:rsid w:val="00197205"/>
    <w:rsid w:val="001A1EF6"/>
    <w:rsid w:val="001A55B9"/>
    <w:rsid w:val="001A5868"/>
    <w:rsid w:val="001B308B"/>
    <w:rsid w:val="001B53BE"/>
    <w:rsid w:val="001B71D7"/>
    <w:rsid w:val="001C5C7E"/>
    <w:rsid w:val="001D49A2"/>
    <w:rsid w:val="001E018C"/>
    <w:rsid w:val="001E1BF7"/>
    <w:rsid w:val="001E2B5E"/>
    <w:rsid w:val="001E561A"/>
    <w:rsid w:val="001F30FE"/>
    <w:rsid w:val="002001E7"/>
    <w:rsid w:val="0020300C"/>
    <w:rsid w:val="00206D02"/>
    <w:rsid w:val="00214535"/>
    <w:rsid w:val="00221CAC"/>
    <w:rsid w:val="00224F12"/>
    <w:rsid w:val="002272FA"/>
    <w:rsid w:val="00227FE4"/>
    <w:rsid w:val="0023077B"/>
    <w:rsid w:val="0023148B"/>
    <w:rsid w:val="002326D5"/>
    <w:rsid w:val="00243688"/>
    <w:rsid w:val="0024527F"/>
    <w:rsid w:val="00255C14"/>
    <w:rsid w:val="00257001"/>
    <w:rsid w:val="00262065"/>
    <w:rsid w:val="002636DA"/>
    <w:rsid w:val="00272567"/>
    <w:rsid w:val="00273286"/>
    <w:rsid w:val="00276A25"/>
    <w:rsid w:val="0028032D"/>
    <w:rsid w:val="00281D1C"/>
    <w:rsid w:val="00283C4B"/>
    <w:rsid w:val="00285804"/>
    <w:rsid w:val="002908C7"/>
    <w:rsid w:val="00294602"/>
    <w:rsid w:val="00297619"/>
    <w:rsid w:val="002A7F02"/>
    <w:rsid w:val="002B3638"/>
    <w:rsid w:val="002C7803"/>
    <w:rsid w:val="002E1219"/>
    <w:rsid w:val="002E2320"/>
    <w:rsid w:val="002E23FC"/>
    <w:rsid w:val="002E5932"/>
    <w:rsid w:val="002F5161"/>
    <w:rsid w:val="002F5F8D"/>
    <w:rsid w:val="002F787A"/>
    <w:rsid w:val="00314264"/>
    <w:rsid w:val="0031470A"/>
    <w:rsid w:val="003161D6"/>
    <w:rsid w:val="00317C44"/>
    <w:rsid w:val="00321962"/>
    <w:rsid w:val="003240CB"/>
    <w:rsid w:val="00332D1D"/>
    <w:rsid w:val="00345009"/>
    <w:rsid w:val="00345B5F"/>
    <w:rsid w:val="00360E36"/>
    <w:rsid w:val="00361857"/>
    <w:rsid w:val="00363EF0"/>
    <w:rsid w:val="00364B82"/>
    <w:rsid w:val="00366CB8"/>
    <w:rsid w:val="00370B17"/>
    <w:rsid w:val="003737E8"/>
    <w:rsid w:val="00375116"/>
    <w:rsid w:val="003778A2"/>
    <w:rsid w:val="00382820"/>
    <w:rsid w:val="0038333E"/>
    <w:rsid w:val="00384425"/>
    <w:rsid w:val="0039122D"/>
    <w:rsid w:val="00391F88"/>
    <w:rsid w:val="00395107"/>
    <w:rsid w:val="003958B3"/>
    <w:rsid w:val="00396E5C"/>
    <w:rsid w:val="003974D7"/>
    <w:rsid w:val="003A0394"/>
    <w:rsid w:val="003A0935"/>
    <w:rsid w:val="003A5C36"/>
    <w:rsid w:val="003A774F"/>
    <w:rsid w:val="003B345E"/>
    <w:rsid w:val="003B5CBF"/>
    <w:rsid w:val="003B6A5A"/>
    <w:rsid w:val="003D4B34"/>
    <w:rsid w:val="003E051D"/>
    <w:rsid w:val="00401733"/>
    <w:rsid w:val="004020DF"/>
    <w:rsid w:val="00402A59"/>
    <w:rsid w:val="004044FC"/>
    <w:rsid w:val="00404F80"/>
    <w:rsid w:val="00405FF6"/>
    <w:rsid w:val="004146BE"/>
    <w:rsid w:val="00415D8E"/>
    <w:rsid w:val="00421B9D"/>
    <w:rsid w:val="004226CE"/>
    <w:rsid w:val="00423591"/>
    <w:rsid w:val="00424FBD"/>
    <w:rsid w:val="00425A6F"/>
    <w:rsid w:val="004300F0"/>
    <w:rsid w:val="004317B1"/>
    <w:rsid w:val="0043202B"/>
    <w:rsid w:val="0043432B"/>
    <w:rsid w:val="004346CD"/>
    <w:rsid w:val="00441B72"/>
    <w:rsid w:val="0044736E"/>
    <w:rsid w:val="004537D8"/>
    <w:rsid w:val="00455553"/>
    <w:rsid w:val="00455839"/>
    <w:rsid w:val="00455846"/>
    <w:rsid w:val="0045792A"/>
    <w:rsid w:val="00464C47"/>
    <w:rsid w:val="004717C2"/>
    <w:rsid w:val="0047308D"/>
    <w:rsid w:val="004738FD"/>
    <w:rsid w:val="00475A77"/>
    <w:rsid w:val="004771F8"/>
    <w:rsid w:val="004819AB"/>
    <w:rsid w:val="00481BCE"/>
    <w:rsid w:val="004A20ED"/>
    <w:rsid w:val="004A261B"/>
    <w:rsid w:val="004A6050"/>
    <w:rsid w:val="004A6EBE"/>
    <w:rsid w:val="004A779E"/>
    <w:rsid w:val="004B03D4"/>
    <w:rsid w:val="004B17DE"/>
    <w:rsid w:val="004B18F0"/>
    <w:rsid w:val="004B31D3"/>
    <w:rsid w:val="004C19CD"/>
    <w:rsid w:val="004C2A15"/>
    <w:rsid w:val="004C45FF"/>
    <w:rsid w:val="004C670A"/>
    <w:rsid w:val="004D0E64"/>
    <w:rsid w:val="004D119C"/>
    <w:rsid w:val="004D22FE"/>
    <w:rsid w:val="004D36F4"/>
    <w:rsid w:val="004D4518"/>
    <w:rsid w:val="004D5822"/>
    <w:rsid w:val="004E0496"/>
    <w:rsid w:val="004E730E"/>
    <w:rsid w:val="004F1BC4"/>
    <w:rsid w:val="00501498"/>
    <w:rsid w:val="00513FBC"/>
    <w:rsid w:val="00514BA5"/>
    <w:rsid w:val="00530D07"/>
    <w:rsid w:val="00531CF2"/>
    <w:rsid w:val="00532ED3"/>
    <w:rsid w:val="00535295"/>
    <w:rsid w:val="005365CC"/>
    <w:rsid w:val="00543621"/>
    <w:rsid w:val="00547B83"/>
    <w:rsid w:val="0055166A"/>
    <w:rsid w:val="0055318E"/>
    <w:rsid w:val="0055523C"/>
    <w:rsid w:val="005559F3"/>
    <w:rsid w:val="005703C1"/>
    <w:rsid w:val="00577FBE"/>
    <w:rsid w:val="00582F48"/>
    <w:rsid w:val="00585E8B"/>
    <w:rsid w:val="00587477"/>
    <w:rsid w:val="005921C9"/>
    <w:rsid w:val="00594A48"/>
    <w:rsid w:val="005A215E"/>
    <w:rsid w:val="005A23C5"/>
    <w:rsid w:val="005A3BDE"/>
    <w:rsid w:val="005A5239"/>
    <w:rsid w:val="005B0821"/>
    <w:rsid w:val="005B2A38"/>
    <w:rsid w:val="005B3E04"/>
    <w:rsid w:val="005B60D1"/>
    <w:rsid w:val="005C061E"/>
    <w:rsid w:val="005C107B"/>
    <w:rsid w:val="005C44F9"/>
    <w:rsid w:val="005D038F"/>
    <w:rsid w:val="005D1184"/>
    <w:rsid w:val="005D6056"/>
    <w:rsid w:val="005E2458"/>
    <w:rsid w:val="005E4B93"/>
    <w:rsid w:val="005E4D12"/>
    <w:rsid w:val="005F2959"/>
    <w:rsid w:val="005F3624"/>
    <w:rsid w:val="005F77FA"/>
    <w:rsid w:val="00607599"/>
    <w:rsid w:val="006260A4"/>
    <w:rsid w:val="006269B5"/>
    <w:rsid w:val="00642685"/>
    <w:rsid w:val="0064389B"/>
    <w:rsid w:val="0065353E"/>
    <w:rsid w:val="006536F7"/>
    <w:rsid w:val="006537B0"/>
    <w:rsid w:val="0066679F"/>
    <w:rsid w:val="006760C3"/>
    <w:rsid w:val="00680A5B"/>
    <w:rsid w:val="0068675B"/>
    <w:rsid w:val="00693B15"/>
    <w:rsid w:val="00695316"/>
    <w:rsid w:val="0069544B"/>
    <w:rsid w:val="006A45E5"/>
    <w:rsid w:val="006A7211"/>
    <w:rsid w:val="006B7356"/>
    <w:rsid w:val="006C1C4C"/>
    <w:rsid w:val="006C2108"/>
    <w:rsid w:val="006D014E"/>
    <w:rsid w:val="006D2E06"/>
    <w:rsid w:val="006D5C76"/>
    <w:rsid w:val="006E0014"/>
    <w:rsid w:val="006E179D"/>
    <w:rsid w:val="006E50F8"/>
    <w:rsid w:val="006E5DAD"/>
    <w:rsid w:val="006E6871"/>
    <w:rsid w:val="00704712"/>
    <w:rsid w:val="00706F09"/>
    <w:rsid w:val="007121C1"/>
    <w:rsid w:val="007172A7"/>
    <w:rsid w:val="0072255E"/>
    <w:rsid w:val="0073266D"/>
    <w:rsid w:val="00734ADE"/>
    <w:rsid w:val="007402D5"/>
    <w:rsid w:val="00740719"/>
    <w:rsid w:val="007417B8"/>
    <w:rsid w:val="00747A68"/>
    <w:rsid w:val="00747ED0"/>
    <w:rsid w:val="007519CB"/>
    <w:rsid w:val="00763823"/>
    <w:rsid w:val="00763923"/>
    <w:rsid w:val="00770A52"/>
    <w:rsid w:val="00772951"/>
    <w:rsid w:val="007823BF"/>
    <w:rsid w:val="0078697F"/>
    <w:rsid w:val="00791D6E"/>
    <w:rsid w:val="0079318D"/>
    <w:rsid w:val="007932E9"/>
    <w:rsid w:val="007A329D"/>
    <w:rsid w:val="007A4841"/>
    <w:rsid w:val="007B2080"/>
    <w:rsid w:val="007B4EBE"/>
    <w:rsid w:val="007B5253"/>
    <w:rsid w:val="007C0249"/>
    <w:rsid w:val="007C213B"/>
    <w:rsid w:val="007C7883"/>
    <w:rsid w:val="007D1FAB"/>
    <w:rsid w:val="007D3FFF"/>
    <w:rsid w:val="007D4279"/>
    <w:rsid w:val="007D6669"/>
    <w:rsid w:val="007D71A2"/>
    <w:rsid w:val="007D7DB5"/>
    <w:rsid w:val="007E2F1A"/>
    <w:rsid w:val="007E5A70"/>
    <w:rsid w:val="007E5B1E"/>
    <w:rsid w:val="007F08DB"/>
    <w:rsid w:val="007F08EF"/>
    <w:rsid w:val="007F0F67"/>
    <w:rsid w:val="007F17E0"/>
    <w:rsid w:val="007F5D26"/>
    <w:rsid w:val="00801655"/>
    <w:rsid w:val="008060B2"/>
    <w:rsid w:val="00812813"/>
    <w:rsid w:val="00813F8F"/>
    <w:rsid w:val="008156EC"/>
    <w:rsid w:val="008170FE"/>
    <w:rsid w:val="00821148"/>
    <w:rsid w:val="0082361E"/>
    <w:rsid w:val="008238AF"/>
    <w:rsid w:val="00824A7C"/>
    <w:rsid w:val="00825B10"/>
    <w:rsid w:val="008263B1"/>
    <w:rsid w:val="00835508"/>
    <w:rsid w:val="008411C3"/>
    <w:rsid w:val="0084521A"/>
    <w:rsid w:val="00845786"/>
    <w:rsid w:val="00845F41"/>
    <w:rsid w:val="00846033"/>
    <w:rsid w:val="0085671A"/>
    <w:rsid w:val="00857E3D"/>
    <w:rsid w:val="00857F62"/>
    <w:rsid w:val="00864669"/>
    <w:rsid w:val="00865FBC"/>
    <w:rsid w:val="00867743"/>
    <w:rsid w:val="0087633A"/>
    <w:rsid w:val="008778EE"/>
    <w:rsid w:val="00881006"/>
    <w:rsid w:val="00882882"/>
    <w:rsid w:val="008907C1"/>
    <w:rsid w:val="0089284D"/>
    <w:rsid w:val="008939B4"/>
    <w:rsid w:val="00894D81"/>
    <w:rsid w:val="008A021E"/>
    <w:rsid w:val="008A0478"/>
    <w:rsid w:val="008A2F70"/>
    <w:rsid w:val="008A5096"/>
    <w:rsid w:val="008B23AC"/>
    <w:rsid w:val="008B333B"/>
    <w:rsid w:val="008B5602"/>
    <w:rsid w:val="008D264E"/>
    <w:rsid w:val="008D3C73"/>
    <w:rsid w:val="008D561D"/>
    <w:rsid w:val="008E638E"/>
    <w:rsid w:val="008E6EDB"/>
    <w:rsid w:val="008F1AAA"/>
    <w:rsid w:val="008F4668"/>
    <w:rsid w:val="008F6F23"/>
    <w:rsid w:val="009028E1"/>
    <w:rsid w:val="00904EB4"/>
    <w:rsid w:val="00906CE5"/>
    <w:rsid w:val="00911ADE"/>
    <w:rsid w:val="0091210C"/>
    <w:rsid w:val="00912BED"/>
    <w:rsid w:val="00913E7D"/>
    <w:rsid w:val="009201BE"/>
    <w:rsid w:val="009249F2"/>
    <w:rsid w:val="00926E07"/>
    <w:rsid w:val="00932A33"/>
    <w:rsid w:val="00942A2E"/>
    <w:rsid w:val="00942DEB"/>
    <w:rsid w:val="009605D9"/>
    <w:rsid w:val="0096575D"/>
    <w:rsid w:val="0097249C"/>
    <w:rsid w:val="00973107"/>
    <w:rsid w:val="009769ED"/>
    <w:rsid w:val="00977E81"/>
    <w:rsid w:val="00983210"/>
    <w:rsid w:val="00984320"/>
    <w:rsid w:val="009912F5"/>
    <w:rsid w:val="00995244"/>
    <w:rsid w:val="00995FD1"/>
    <w:rsid w:val="009B39E4"/>
    <w:rsid w:val="009B435E"/>
    <w:rsid w:val="009C32A3"/>
    <w:rsid w:val="009D3B15"/>
    <w:rsid w:val="009E413E"/>
    <w:rsid w:val="009E5F78"/>
    <w:rsid w:val="009E7BE3"/>
    <w:rsid w:val="009F4451"/>
    <w:rsid w:val="00A0239B"/>
    <w:rsid w:val="00A16B11"/>
    <w:rsid w:val="00A16FCB"/>
    <w:rsid w:val="00A226E9"/>
    <w:rsid w:val="00A22C4A"/>
    <w:rsid w:val="00A22E04"/>
    <w:rsid w:val="00A27FBB"/>
    <w:rsid w:val="00A30DCE"/>
    <w:rsid w:val="00A44373"/>
    <w:rsid w:val="00A4480E"/>
    <w:rsid w:val="00A45166"/>
    <w:rsid w:val="00A510F4"/>
    <w:rsid w:val="00A54E9E"/>
    <w:rsid w:val="00A57488"/>
    <w:rsid w:val="00A578F6"/>
    <w:rsid w:val="00A624B4"/>
    <w:rsid w:val="00A64CE0"/>
    <w:rsid w:val="00A65D84"/>
    <w:rsid w:val="00A663B5"/>
    <w:rsid w:val="00A713E2"/>
    <w:rsid w:val="00A73580"/>
    <w:rsid w:val="00A8650A"/>
    <w:rsid w:val="00A918C6"/>
    <w:rsid w:val="00A96658"/>
    <w:rsid w:val="00AA0066"/>
    <w:rsid w:val="00AA79AE"/>
    <w:rsid w:val="00AC172F"/>
    <w:rsid w:val="00AD419C"/>
    <w:rsid w:val="00AD7E1A"/>
    <w:rsid w:val="00AE1241"/>
    <w:rsid w:val="00AE362E"/>
    <w:rsid w:val="00AE6666"/>
    <w:rsid w:val="00AF4CC2"/>
    <w:rsid w:val="00AF5B55"/>
    <w:rsid w:val="00AF65B6"/>
    <w:rsid w:val="00B01940"/>
    <w:rsid w:val="00B05015"/>
    <w:rsid w:val="00B0643E"/>
    <w:rsid w:val="00B24215"/>
    <w:rsid w:val="00B24C25"/>
    <w:rsid w:val="00B26C14"/>
    <w:rsid w:val="00B36590"/>
    <w:rsid w:val="00B36AB5"/>
    <w:rsid w:val="00B3791F"/>
    <w:rsid w:val="00B403B2"/>
    <w:rsid w:val="00B421C9"/>
    <w:rsid w:val="00B447E9"/>
    <w:rsid w:val="00B46D60"/>
    <w:rsid w:val="00B472DF"/>
    <w:rsid w:val="00B5403F"/>
    <w:rsid w:val="00B54651"/>
    <w:rsid w:val="00B54F4B"/>
    <w:rsid w:val="00B7224F"/>
    <w:rsid w:val="00B72D0F"/>
    <w:rsid w:val="00B72F28"/>
    <w:rsid w:val="00B770B8"/>
    <w:rsid w:val="00B808EC"/>
    <w:rsid w:val="00B81005"/>
    <w:rsid w:val="00B93430"/>
    <w:rsid w:val="00B95247"/>
    <w:rsid w:val="00BA013F"/>
    <w:rsid w:val="00BB30BF"/>
    <w:rsid w:val="00BB473F"/>
    <w:rsid w:val="00BB6A33"/>
    <w:rsid w:val="00BB710E"/>
    <w:rsid w:val="00BB7B44"/>
    <w:rsid w:val="00BC3A64"/>
    <w:rsid w:val="00BC3ABE"/>
    <w:rsid w:val="00BC70D9"/>
    <w:rsid w:val="00BC728E"/>
    <w:rsid w:val="00BD21FA"/>
    <w:rsid w:val="00BD4558"/>
    <w:rsid w:val="00BE2EC9"/>
    <w:rsid w:val="00BE73C7"/>
    <w:rsid w:val="00BF349F"/>
    <w:rsid w:val="00BF4CC0"/>
    <w:rsid w:val="00BF5B24"/>
    <w:rsid w:val="00BF618B"/>
    <w:rsid w:val="00C02BF8"/>
    <w:rsid w:val="00C07A1A"/>
    <w:rsid w:val="00C14DCF"/>
    <w:rsid w:val="00C16DDA"/>
    <w:rsid w:val="00C21D60"/>
    <w:rsid w:val="00C23FA2"/>
    <w:rsid w:val="00C303E9"/>
    <w:rsid w:val="00C34EE5"/>
    <w:rsid w:val="00C36826"/>
    <w:rsid w:val="00C40217"/>
    <w:rsid w:val="00C44CC3"/>
    <w:rsid w:val="00C4764A"/>
    <w:rsid w:val="00C556E6"/>
    <w:rsid w:val="00C67B7D"/>
    <w:rsid w:val="00C7505A"/>
    <w:rsid w:val="00C7700E"/>
    <w:rsid w:val="00C82298"/>
    <w:rsid w:val="00C828E7"/>
    <w:rsid w:val="00C839EF"/>
    <w:rsid w:val="00C865B4"/>
    <w:rsid w:val="00C90C1D"/>
    <w:rsid w:val="00C913CB"/>
    <w:rsid w:val="00C9436F"/>
    <w:rsid w:val="00CA0C8A"/>
    <w:rsid w:val="00CA3A05"/>
    <w:rsid w:val="00CA3B2C"/>
    <w:rsid w:val="00CA4D57"/>
    <w:rsid w:val="00CA7277"/>
    <w:rsid w:val="00CA7E61"/>
    <w:rsid w:val="00CC601F"/>
    <w:rsid w:val="00CD2C5F"/>
    <w:rsid w:val="00CD34BD"/>
    <w:rsid w:val="00CD39BF"/>
    <w:rsid w:val="00CD3A01"/>
    <w:rsid w:val="00CD6CC5"/>
    <w:rsid w:val="00CE0FCA"/>
    <w:rsid w:val="00CE1B78"/>
    <w:rsid w:val="00CE5331"/>
    <w:rsid w:val="00CE6204"/>
    <w:rsid w:val="00CE7345"/>
    <w:rsid w:val="00D00873"/>
    <w:rsid w:val="00D02294"/>
    <w:rsid w:val="00D065A7"/>
    <w:rsid w:val="00D07855"/>
    <w:rsid w:val="00D144DE"/>
    <w:rsid w:val="00D1696E"/>
    <w:rsid w:val="00D200A5"/>
    <w:rsid w:val="00D2370C"/>
    <w:rsid w:val="00D244B9"/>
    <w:rsid w:val="00D31ED7"/>
    <w:rsid w:val="00D32044"/>
    <w:rsid w:val="00D32D8A"/>
    <w:rsid w:val="00D3582A"/>
    <w:rsid w:val="00D37643"/>
    <w:rsid w:val="00D41B97"/>
    <w:rsid w:val="00D4321C"/>
    <w:rsid w:val="00D50F88"/>
    <w:rsid w:val="00D53882"/>
    <w:rsid w:val="00D551C7"/>
    <w:rsid w:val="00D60D24"/>
    <w:rsid w:val="00D643B1"/>
    <w:rsid w:val="00D6732D"/>
    <w:rsid w:val="00D7249A"/>
    <w:rsid w:val="00D74AB1"/>
    <w:rsid w:val="00D751A1"/>
    <w:rsid w:val="00D835B2"/>
    <w:rsid w:val="00D91F69"/>
    <w:rsid w:val="00DA38CB"/>
    <w:rsid w:val="00DA40BB"/>
    <w:rsid w:val="00DB21ED"/>
    <w:rsid w:val="00DB26A9"/>
    <w:rsid w:val="00DB4267"/>
    <w:rsid w:val="00DB6AFD"/>
    <w:rsid w:val="00DC1079"/>
    <w:rsid w:val="00DC1868"/>
    <w:rsid w:val="00DC291C"/>
    <w:rsid w:val="00DC5FE6"/>
    <w:rsid w:val="00DD154D"/>
    <w:rsid w:val="00DD5B62"/>
    <w:rsid w:val="00DD698B"/>
    <w:rsid w:val="00DD6D84"/>
    <w:rsid w:val="00DE2B90"/>
    <w:rsid w:val="00DE3F34"/>
    <w:rsid w:val="00DE66F0"/>
    <w:rsid w:val="00DF20F4"/>
    <w:rsid w:val="00DF371A"/>
    <w:rsid w:val="00DF6138"/>
    <w:rsid w:val="00DF6806"/>
    <w:rsid w:val="00E04CD9"/>
    <w:rsid w:val="00E15836"/>
    <w:rsid w:val="00E20830"/>
    <w:rsid w:val="00E22372"/>
    <w:rsid w:val="00E223D3"/>
    <w:rsid w:val="00E258E1"/>
    <w:rsid w:val="00E41557"/>
    <w:rsid w:val="00E4756E"/>
    <w:rsid w:val="00E51D7A"/>
    <w:rsid w:val="00E534BC"/>
    <w:rsid w:val="00E54797"/>
    <w:rsid w:val="00E6017F"/>
    <w:rsid w:val="00E63BB1"/>
    <w:rsid w:val="00E73CF3"/>
    <w:rsid w:val="00E80084"/>
    <w:rsid w:val="00E84640"/>
    <w:rsid w:val="00E84F1F"/>
    <w:rsid w:val="00E862D2"/>
    <w:rsid w:val="00E8630A"/>
    <w:rsid w:val="00E866E3"/>
    <w:rsid w:val="00E919AE"/>
    <w:rsid w:val="00E95FB2"/>
    <w:rsid w:val="00EB34EB"/>
    <w:rsid w:val="00EB4E70"/>
    <w:rsid w:val="00EC03BA"/>
    <w:rsid w:val="00EC371A"/>
    <w:rsid w:val="00EC4CA5"/>
    <w:rsid w:val="00ED1F86"/>
    <w:rsid w:val="00ED489F"/>
    <w:rsid w:val="00ED5D99"/>
    <w:rsid w:val="00ED72AF"/>
    <w:rsid w:val="00EF013A"/>
    <w:rsid w:val="00EF1249"/>
    <w:rsid w:val="00EF1900"/>
    <w:rsid w:val="00EF36A5"/>
    <w:rsid w:val="00F10F55"/>
    <w:rsid w:val="00F16153"/>
    <w:rsid w:val="00F2269D"/>
    <w:rsid w:val="00F24617"/>
    <w:rsid w:val="00F248D9"/>
    <w:rsid w:val="00F267A0"/>
    <w:rsid w:val="00F317C3"/>
    <w:rsid w:val="00F464BA"/>
    <w:rsid w:val="00F513DE"/>
    <w:rsid w:val="00F54B58"/>
    <w:rsid w:val="00F56943"/>
    <w:rsid w:val="00F601E5"/>
    <w:rsid w:val="00F602A3"/>
    <w:rsid w:val="00F623A4"/>
    <w:rsid w:val="00F6481A"/>
    <w:rsid w:val="00F903D8"/>
    <w:rsid w:val="00F916C7"/>
    <w:rsid w:val="00F93F51"/>
    <w:rsid w:val="00FA0946"/>
    <w:rsid w:val="00FA2FC4"/>
    <w:rsid w:val="00FA46E5"/>
    <w:rsid w:val="00FB2A50"/>
    <w:rsid w:val="00FB3011"/>
    <w:rsid w:val="00FB5982"/>
    <w:rsid w:val="00FC152A"/>
    <w:rsid w:val="00FD6579"/>
    <w:rsid w:val="00FE06C1"/>
    <w:rsid w:val="00FE2CBA"/>
    <w:rsid w:val="00FE3E90"/>
    <w:rsid w:val="00FF7D25"/>
    <w:rsid w:val="013219C8"/>
    <w:rsid w:val="01AE15BA"/>
    <w:rsid w:val="02B25B77"/>
    <w:rsid w:val="02D04D52"/>
    <w:rsid w:val="065917A1"/>
    <w:rsid w:val="068A4895"/>
    <w:rsid w:val="07865CC1"/>
    <w:rsid w:val="08B12BD3"/>
    <w:rsid w:val="090917E1"/>
    <w:rsid w:val="0AD777BB"/>
    <w:rsid w:val="0AF93291"/>
    <w:rsid w:val="0D0D639A"/>
    <w:rsid w:val="0D4D6A8C"/>
    <w:rsid w:val="0EC10A41"/>
    <w:rsid w:val="0EC61D01"/>
    <w:rsid w:val="0F662CE2"/>
    <w:rsid w:val="0FE11533"/>
    <w:rsid w:val="10207A5B"/>
    <w:rsid w:val="10A31851"/>
    <w:rsid w:val="10B30F68"/>
    <w:rsid w:val="11403123"/>
    <w:rsid w:val="12244F80"/>
    <w:rsid w:val="135103B7"/>
    <w:rsid w:val="13A659AB"/>
    <w:rsid w:val="146A0021"/>
    <w:rsid w:val="14E81685"/>
    <w:rsid w:val="156D00FF"/>
    <w:rsid w:val="159F500E"/>
    <w:rsid w:val="15B036FB"/>
    <w:rsid w:val="174D31CB"/>
    <w:rsid w:val="17A56CAE"/>
    <w:rsid w:val="182C48E3"/>
    <w:rsid w:val="186175D4"/>
    <w:rsid w:val="194062FB"/>
    <w:rsid w:val="1A2B77F4"/>
    <w:rsid w:val="1AB36AD5"/>
    <w:rsid w:val="1B5E59A7"/>
    <w:rsid w:val="1B783377"/>
    <w:rsid w:val="1BE3708C"/>
    <w:rsid w:val="1C393D1E"/>
    <w:rsid w:val="1D77071A"/>
    <w:rsid w:val="1DDA0EB6"/>
    <w:rsid w:val="1E55507B"/>
    <w:rsid w:val="1F0617AF"/>
    <w:rsid w:val="1F9F2057"/>
    <w:rsid w:val="1FC20CFF"/>
    <w:rsid w:val="20296706"/>
    <w:rsid w:val="20C368F8"/>
    <w:rsid w:val="211E7B23"/>
    <w:rsid w:val="21503898"/>
    <w:rsid w:val="225E4AC7"/>
    <w:rsid w:val="22E14319"/>
    <w:rsid w:val="232F02A4"/>
    <w:rsid w:val="27363334"/>
    <w:rsid w:val="2738348F"/>
    <w:rsid w:val="286640ED"/>
    <w:rsid w:val="286D5C93"/>
    <w:rsid w:val="29CA26C7"/>
    <w:rsid w:val="29EC4C3C"/>
    <w:rsid w:val="2AA40CE7"/>
    <w:rsid w:val="2AB71FB6"/>
    <w:rsid w:val="2B3763B3"/>
    <w:rsid w:val="2BD30E9C"/>
    <w:rsid w:val="2BD630A1"/>
    <w:rsid w:val="2C3F2356"/>
    <w:rsid w:val="2C482ACA"/>
    <w:rsid w:val="2CCA6A56"/>
    <w:rsid w:val="2E920B22"/>
    <w:rsid w:val="2F643C4E"/>
    <w:rsid w:val="33092244"/>
    <w:rsid w:val="33FE18E2"/>
    <w:rsid w:val="3489489A"/>
    <w:rsid w:val="35106D39"/>
    <w:rsid w:val="35853A9F"/>
    <w:rsid w:val="358E7516"/>
    <w:rsid w:val="36406C01"/>
    <w:rsid w:val="36D52B69"/>
    <w:rsid w:val="374C704E"/>
    <w:rsid w:val="383051EC"/>
    <w:rsid w:val="392C4B7E"/>
    <w:rsid w:val="396A15C3"/>
    <w:rsid w:val="3B84310D"/>
    <w:rsid w:val="3C676D43"/>
    <w:rsid w:val="3CEA420A"/>
    <w:rsid w:val="3CEE1D4C"/>
    <w:rsid w:val="3DA908AC"/>
    <w:rsid w:val="3DCC55BB"/>
    <w:rsid w:val="3F5D2B3A"/>
    <w:rsid w:val="3F9F4367"/>
    <w:rsid w:val="3FBB48C6"/>
    <w:rsid w:val="3FE0432D"/>
    <w:rsid w:val="3FFC1167"/>
    <w:rsid w:val="40270DAD"/>
    <w:rsid w:val="40955117"/>
    <w:rsid w:val="412C40D1"/>
    <w:rsid w:val="445E4006"/>
    <w:rsid w:val="451243BF"/>
    <w:rsid w:val="452E25E2"/>
    <w:rsid w:val="453B46DA"/>
    <w:rsid w:val="459D541B"/>
    <w:rsid w:val="4608590C"/>
    <w:rsid w:val="4621793D"/>
    <w:rsid w:val="462A4554"/>
    <w:rsid w:val="46A77952"/>
    <w:rsid w:val="479240E4"/>
    <w:rsid w:val="487A3C34"/>
    <w:rsid w:val="4B466FC9"/>
    <w:rsid w:val="4D761E2D"/>
    <w:rsid w:val="4D875AEF"/>
    <w:rsid w:val="4DF71675"/>
    <w:rsid w:val="4E6E7530"/>
    <w:rsid w:val="519F7BA4"/>
    <w:rsid w:val="52024F4A"/>
    <w:rsid w:val="521C7D39"/>
    <w:rsid w:val="52725202"/>
    <w:rsid w:val="53184E30"/>
    <w:rsid w:val="5336549F"/>
    <w:rsid w:val="557A2C1D"/>
    <w:rsid w:val="55BF6A67"/>
    <w:rsid w:val="560C305F"/>
    <w:rsid w:val="57D63138"/>
    <w:rsid w:val="58110BCB"/>
    <w:rsid w:val="58D603B7"/>
    <w:rsid w:val="59EE3C8E"/>
    <w:rsid w:val="5B5E0F00"/>
    <w:rsid w:val="5D043CC4"/>
    <w:rsid w:val="5D6705E7"/>
    <w:rsid w:val="5ECD5C23"/>
    <w:rsid w:val="5EF02608"/>
    <w:rsid w:val="5F174C09"/>
    <w:rsid w:val="5F213199"/>
    <w:rsid w:val="5F2E3793"/>
    <w:rsid w:val="60470FEA"/>
    <w:rsid w:val="608F7035"/>
    <w:rsid w:val="61A6391B"/>
    <w:rsid w:val="61E723CC"/>
    <w:rsid w:val="621C1D54"/>
    <w:rsid w:val="62785FB1"/>
    <w:rsid w:val="62C61B62"/>
    <w:rsid w:val="631A75CF"/>
    <w:rsid w:val="655B26C1"/>
    <w:rsid w:val="66B44169"/>
    <w:rsid w:val="672572C9"/>
    <w:rsid w:val="67FC610F"/>
    <w:rsid w:val="6C66644F"/>
    <w:rsid w:val="6C830396"/>
    <w:rsid w:val="6C8C675E"/>
    <w:rsid w:val="6E362785"/>
    <w:rsid w:val="6E6261EB"/>
    <w:rsid w:val="6F1E2035"/>
    <w:rsid w:val="701D28B0"/>
    <w:rsid w:val="7148086A"/>
    <w:rsid w:val="71AE3117"/>
    <w:rsid w:val="73EF0213"/>
    <w:rsid w:val="74424693"/>
    <w:rsid w:val="7478299F"/>
    <w:rsid w:val="748950FC"/>
    <w:rsid w:val="75A45B38"/>
    <w:rsid w:val="767710B2"/>
    <w:rsid w:val="768F7938"/>
    <w:rsid w:val="775F36A1"/>
    <w:rsid w:val="77955421"/>
    <w:rsid w:val="77C95EEC"/>
    <w:rsid w:val="789D7585"/>
    <w:rsid w:val="78D22FF2"/>
    <w:rsid w:val="791473AE"/>
    <w:rsid w:val="793F6063"/>
    <w:rsid w:val="79984985"/>
    <w:rsid w:val="79996D18"/>
    <w:rsid w:val="79B8048D"/>
    <w:rsid w:val="79B83691"/>
    <w:rsid w:val="7A4E0664"/>
    <w:rsid w:val="7AD47607"/>
    <w:rsid w:val="7ADC2D9C"/>
    <w:rsid w:val="7B1224D0"/>
    <w:rsid w:val="7B96182F"/>
    <w:rsid w:val="7C6333F8"/>
    <w:rsid w:val="7CC35590"/>
    <w:rsid w:val="7DC01526"/>
    <w:rsid w:val="7F840255"/>
    <w:rsid w:val="7FA75CF2"/>
    <w:rsid w:val="7FE900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4">
    <w:name w:val="Normal Indent"/>
    <w:basedOn w:val="1"/>
    <w:qFormat/>
    <w:uiPriority w:val="0"/>
    <w:pPr>
      <w:ind w:firstLine="420"/>
    </w:pPr>
    <w:rPr>
      <w:rFonts w:ascii="Times New Roman"/>
    </w:rPr>
  </w:style>
  <w:style w:type="paragraph" w:styleId="5">
    <w:name w:val="annotation text"/>
    <w:basedOn w:val="1"/>
    <w:link w:val="25"/>
    <w:semiHidden/>
    <w:unhideWhenUsed/>
    <w:qFormat/>
    <w:uiPriority w:val="99"/>
    <w:pPr>
      <w:jc w:val="left"/>
    </w:pPr>
  </w:style>
  <w:style w:type="paragraph" w:styleId="6">
    <w:name w:val="Body Text Indent"/>
    <w:basedOn w:val="1"/>
    <w:qFormat/>
    <w:uiPriority w:val="0"/>
    <w:pPr>
      <w:ind w:firstLine="660"/>
    </w:pPr>
    <w:rPr>
      <w:rFonts w:ascii="宋体" w:hAnsi="宋体"/>
      <w:color w:val="000000"/>
      <w:kern w:val="0"/>
      <w:sz w:val="24"/>
      <w:szCs w:val="24"/>
    </w:rPr>
  </w:style>
  <w:style w:type="paragraph" w:styleId="7">
    <w:name w:val="Date"/>
    <w:basedOn w:val="1"/>
    <w:next w:val="1"/>
    <w:link w:val="28"/>
    <w:semiHidden/>
    <w:unhideWhenUsed/>
    <w:qFormat/>
    <w:uiPriority w:val="99"/>
    <w:pPr>
      <w:ind w:left="100" w:leftChars="2500"/>
    </w:pPr>
  </w:style>
  <w:style w:type="paragraph" w:styleId="8">
    <w:name w:val="Balloon Text"/>
    <w:basedOn w:val="1"/>
    <w:link w:val="27"/>
    <w:semiHidden/>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paragraph" w:styleId="12">
    <w:name w:val="annotation subject"/>
    <w:basedOn w:val="5"/>
    <w:next w:val="5"/>
    <w:link w:val="26"/>
    <w:semiHidden/>
    <w:unhideWhenUsed/>
    <w:qFormat/>
    <w:uiPriority w:val="99"/>
    <w:rPr>
      <w:b/>
      <w:bCs/>
    </w:rPr>
  </w:style>
  <w:style w:type="paragraph" w:styleId="13">
    <w:name w:val="Body Text First Indent"/>
    <w:basedOn w:val="2"/>
    <w:next w:val="1"/>
    <w:qFormat/>
    <w:uiPriority w:val="0"/>
    <w:pPr>
      <w:ind w:firstLine="420" w:firstLineChars="100"/>
    </w:pPr>
  </w:style>
  <w:style w:type="paragraph" w:styleId="14">
    <w:name w:val="Body Text First Indent 2"/>
    <w:basedOn w:val="6"/>
    <w:qFormat/>
    <w:uiPriority w:val="0"/>
    <w:pPr>
      <w:ind w:firstLine="420"/>
    </w:p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Emphasis"/>
    <w:basedOn w:val="17"/>
    <w:qFormat/>
    <w:uiPriority w:val="20"/>
    <w:rPr>
      <w:i/>
    </w:rPr>
  </w:style>
  <w:style w:type="character" w:styleId="19">
    <w:name w:val="annotation reference"/>
    <w:basedOn w:val="17"/>
    <w:semiHidden/>
    <w:unhideWhenUsed/>
    <w:qFormat/>
    <w:uiPriority w:val="99"/>
    <w:rPr>
      <w:sz w:val="21"/>
      <w:szCs w:val="21"/>
    </w:rPr>
  </w:style>
  <w:style w:type="paragraph" w:customStyle="1" w:styleId="20">
    <w:name w:val="表格文字"/>
    <w:basedOn w:val="21"/>
    <w:qFormat/>
    <w:uiPriority w:val="0"/>
  </w:style>
  <w:style w:type="paragraph" w:customStyle="1" w:styleId="21">
    <w:name w:val="表格文字（两侧对齐）"/>
    <w:basedOn w:val="1"/>
    <w:qFormat/>
    <w:uiPriority w:val="0"/>
    <w:pPr>
      <w:widowControl w:val="0"/>
      <w:spacing w:line="240" w:lineRule="auto"/>
      <w:ind w:firstLine="0" w:firstLineChars="0"/>
    </w:pPr>
    <w:rPr>
      <w:rFonts w:ascii="Calibri" w:hAnsi="Calibri" w:cs="Times New Roman"/>
      <w:kern w:val="0"/>
      <w:sz w:val="20"/>
    </w:rPr>
  </w:style>
  <w:style w:type="paragraph" w:styleId="22">
    <w:name w:val="List Paragraph"/>
    <w:basedOn w:val="1"/>
    <w:qFormat/>
    <w:uiPriority w:val="34"/>
    <w:pPr>
      <w:ind w:firstLine="420" w:firstLineChars="200"/>
    </w:pPr>
  </w:style>
  <w:style w:type="character" w:customStyle="1" w:styleId="23">
    <w:name w:val="页眉 Char"/>
    <w:basedOn w:val="17"/>
    <w:link w:val="10"/>
    <w:qFormat/>
    <w:uiPriority w:val="99"/>
    <w:rPr>
      <w:sz w:val="18"/>
      <w:szCs w:val="18"/>
    </w:rPr>
  </w:style>
  <w:style w:type="character" w:customStyle="1" w:styleId="24">
    <w:name w:val="页脚 Char"/>
    <w:basedOn w:val="17"/>
    <w:link w:val="9"/>
    <w:qFormat/>
    <w:uiPriority w:val="99"/>
    <w:rPr>
      <w:sz w:val="18"/>
      <w:szCs w:val="18"/>
    </w:rPr>
  </w:style>
  <w:style w:type="character" w:customStyle="1" w:styleId="25">
    <w:name w:val="批注文字 Char"/>
    <w:basedOn w:val="17"/>
    <w:link w:val="5"/>
    <w:semiHidden/>
    <w:qFormat/>
    <w:uiPriority w:val="99"/>
  </w:style>
  <w:style w:type="character" w:customStyle="1" w:styleId="26">
    <w:name w:val="批注主题 Char"/>
    <w:basedOn w:val="25"/>
    <w:link w:val="12"/>
    <w:semiHidden/>
    <w:qFormat/>
    <w:uiPriority w:val="99"/>
    <w:rPr>
      <w:b/>
      <w:bCs/>
    </w:rPr>
  </w:style>
  <w:style w:type="character" w:customStyle="1" w:styleId="27">
    <w:name w:val="批注框文本 Char"/>
    <w:basedOn w:val="17"/>
    <w:link w:val="8"/>
    <w:semiHidden/>
    <w:qFormat/>
    <w:uiPriority w:val="99"/>
    <w:rPr>
      <w:sz w:val="18"/>
      <w:szCs w:val="18"/>
    </w:rPr>
  </w:style>
  <w:style w:type="character" w:customStyle="1" w:styleId="28">
    <w:name w:val="日期 Char"/>
    <w:basedOn w:val="17"/>
    <w:link w:val="7"/>
    <w:semiHidden/>
    <w:qFormat/>
    <w:uiPriority w:val="99"/>
  </w:style>
  <w:style w:type="table" w:customStyle="1" w:styleId="29">
    <w:name w:val="网格型1"/>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0">
    <w:name w:val="NormalCharacter"/>
    <w:qFormat/>
    <w:uiPriority w:val="0"/>
    <w:rPr>
      <w:rFonts w:ascii="Times New Roman" w:hAnsi="Times New Roman" w:eastAsia="宋体" w:cs="Times New Roman"/>
      <w:kern w:val="2"/>
      <w:sz w:val="21"/>
      <w:szCs w:val="24"/>
      <w:lang w:val="en-US" w:eastAsia="zh-CN" w:bidi="ar-SA"/>
    </w:rPr>
  </w:style>
  <w:style w:type="paragraph" w:customStyle="1" w:styleId="31">
    <w:name w:val="Body text|1"/>
    <w:basedOn w:val="1"/>
    <w:qFormat/>
    <w:uiPriority w:val="0"/>
    <w:pPr>
      <w:spacing w:line="480" w:lineRule="auto"/>
      <w:ind w:firstLine="400"/>
    </w:pPr>
    <w:rPr>
      <w:rFonts w:ascii="宋体" w:hAnsi="宋体" w:cs="宋体"/>
      <w:sz w:val="26"/>
      <w:szCs w:val="26"/>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1C57AC-F384-4852-B080-CB945217BE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6001</Words>
  <Characters>6411</Characters>
  <Lines>49</Lines>
  <Paragraphs>13</Paragraphs>
  <TotalTime>34</TotalTime>
  <ScaleCrop>false</ScaleCrop>
  <LinksUpToDate>false</LinksUpToDate>
  <CharactersWithSpaces>6522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2020-10-16T02:30:00Z</dcterms:created>
  <dc:creator>林央芝</dc:creator>
  <cp:lastModifiedBy>杨沁菀</cp:lastModifiedBy>
  <cp:lastPrinted>2020-10-19T07:41:00Z</cp:lastPrinted>
  <dcterms:modified xsi:type="dcterms:W3CDTF">2023-04-06T06:19:49Z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549472479</vt:i4>
  </property>
  <property fmtid="{D5CDD505-2E9C-101B-9397-08002B2CF9AE}" pid="3" name="KSOProductBuildVer">
    <vt:lpwstr>2052-11.8.6.9023</vt:lpwstr>
  </property>
  <property fmtid="{D5CDD505-2E9C-101B-9397-08002B2CF9AE}" pid="4" name="ICV">
    <vt:lpwstr>0834CF87B76242D9AE152AF281516A39</vt:lpwstr>
  </property>
</Properties>
</file>