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 w:hAnsi="仿宋" w:eastAsia="仿宋"/>
          <w:sz w:val="28"/>
          <w:szCs w:val="28"/>
        </w:rPr>
      </w:pPr>
      <w:bookmarkStart w:id="0" w:name="_GoBack"/>
      <w:bookmarkEnd w:id="0"/>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numPr>
          <w:ilvl w:val="0"/>
          <w:numId w:val="0"/>
        </w:num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给新生儿家庭提供更便捷、更优质的黄疸随访服务，我院拟引入有资质的第三方公司合作开展远程黄疸监测项目，“互联网＋远程黄疸监测项目”通过利用智能硬件、软件管理平台相结合，对新生儿胆红素水平进行远程居家动态监测，出现异常数据智能自动提醒，医务人员监控数据变化，发现异常及时引导来院干预，保护新生儿安全。</w:t>
      </w:r>
    </w:p>
    <w:p>
      <w:pPr>
        <w:numPr>
          <w:ilvl w:val="0"/>
          <w:numId w:val="0"/>
        </w:num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由第三方服务机构负责提供项目所需设备、软件、</w:t>
      </w:r>
      <w:r>
        <w:rPr>
          <w:rFonts w:hint="eastAsia" w:ascii="仿宋" w:hAnsi="仿宋" w:eastAsia="仿宋" w:cstheme="minorBidi"/>
          <w:b w:val="0"/>
          <w:bCs w:val="0"/>
          <w:sz w:val="28"/>
          <w:szCs w:val="28"/>
          <w:highlight w:val="none"/>
          <w:lang w:val="en-US" w:eastAsia="zh-CN"/>
        </w:rPr>
        <w:t>判读黄疸监护数据等综合</w:t>
      </w:r>
      <w:r>
        <w:rPr>
          <w:rFonts w:hint="eastAsia" w:ascii="仿宋" w:hAnsi="仿宋" w:eastAsia="仿宋"/>
          <w:sz w:val="28"/>
          <w:szCs w:val="28"/>
          <w:highlight w:val="none"/>
        </w:rPr>
        <w:t>服务</w:t>
      </w:r>
      <w:r>
        <w:rPr>
          <w:rFonts w:hint="eastAsia" w:ascii="仿宋" w:hAnsi="仿宋" w:eastAsia="仿宋"/>
          <w:sz w:val="28"/>
          <w:szCs w:val="28"/>
          <w:highlight w:val="none"/>
          <w:lang w:val="en-US" w:eastAsia="zh-CN"/>
        </w:rPr>
        <w:t>，我院负责临床专业的医疗技术支持，共同为有需要的患者提供远程黄疸监测项目服务。</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2.法定代表人身份授权书（原件，格式见附件6），法定代表人和经办人身份证复印件。</w:t>
      </w:r>
    </w:p>
    <w:p>
      <w:pPr>
        <w:spacing w:line="360" w:lineRule="auto"/>
        <w:ind w:firstLine="560" w:firstLineChars="200"/>
        <w:rPr>
          <w:rFonts w:hint="eastAsia" w:ascii="仿宋" w:hAnsi="仿宋" w:eastAsia="仿宋" w:cstheme="minorBidi"/>
          <w:sz w:val="28"/>
          <w:szCs w:val="28"/>
          <w:highlight w:val="none"/>
        </w:rPr>
      </w:pPr>
      <w:r>
        <w:rPr>
          <w:rFonts w:hint="eastAsia" w:ascii="仿宋" w:hAnsi="仿宋" w:eastAsia="仿宋" w:cstheme="minorBidi"/>
          <w:sz w:val="28"/>
          <w:szCs w:val="28"/>
          <w:highlight w:val="none"/>
          <w:lang w:eastAsia="zh-CN"/>
        </w:rPr>
        <w:t>3</w:t>
      </w:r>
      <w:r>
        <w:rPr>
          <w:rFonts w:hint="eastAsia" w:ascii="仿宋" w:hAnsi="仿宋" w:eastAsia="仿宋" w:cstheme="minorBidi"/>
          <w:sz w:val="28"/>
          <w:szCs w:val="28"/>
          <w:highlight w:val="none"/>
          <w:lang w:val="en-US" w:eastAsia="zh-CN"/>
        </w:rPr>
        <w:t>.厂家产品授权委托书或协议</w:t>
      </w:r>
      <w:r>
        <w:rPr>
          <w:rFonts w:hint="eastAsia" w:ascii="仿宋" w:hAnsi="仿宋" w:eastAsia="仿宋" w:cstheme="minorBidi"/>
          <w:sz w:val="28"/>
          <w:szCs w:val="28"/>
          <w:highlight w:val="none"/>
        </w:rPr>
        <w:t>（</w:t>
      </w:r>
      <w:r>
        <w:rPr>
          <w:rFonts w:hint="eastAsia" w:ascii="仿宋" w:hAnsi="仿宋" w:eastAsia="仿宋" w:cstheme="minorBidi"/>
          <w:sz w:val="28"/>
          <w:szCs w:val="28"/>
          <w:highlight w:val="none"/>
          <w:lang w:val="en-US" w:eastAsia="zh-CN"/>
        </w:rPr>
        <w:t>提供复印件，</w:t>
      </w:r>
      <w:r>
        <w:rPr>
          <w:rFonts w:hint="eastAsia" w:ascii="仿宋" w:hAnsi="仿宋" w:eastAsia="仿宋" w:cstheme="minorBidi"/>
          <w:sz w:val="28"/>
          <w:szCs w:val="28"/>
          <w:highlight w:val="none"/>
        </w:rPr>
        <w:t>如产品公司投标则不需提供）。</w:t>
      </w:r>
    </w:p>
    <w:p>
      <w:pPr>
        <w:spacing w:line="360" w:lineRule="auto"/>
        <w:ind w:firstLine="560" w:firstLineChars="200"/>
        <w:jc w:val="left"/>
        <w:rPr>
          <w:rFonts w:hint="eastAsia" w:ascii="仿宋" w:hAnsi="仿宋" w:eastAsia="仿宋"/>
          <w:sz w:val="28"/>
          <w:szCs w:val="28"/>
          <w:highlight w:val="yellow"/>
          <w:lang w:val="en-US" w:eastAsia="zh-CN"/>
        </w:rPr>
      </w:pPr>
      <w:r>
        <w:rPr>
          <w:rFonts w:hint="eastAsia" w:ascii="仿宋" w:hAnsi="仿宋" w:eastAsia="仿宋"/>
          <w:sz w:val="28"/>
          <w:szCs w:val="28"/>
          <w:highlight w:val="none"/>
          <w:lang w:val="en-US" w:eastAsia="zh-CN"/>
        </w:rPr>
        <w:t>4.设备生产许可证，注册证。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5.具有良好的商业信誉和健全的财务会计制度。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6.具有履行合同所必需的人员、设备和专业技术能力。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7.具有依法缴纳税收和社会保障资金的良好记录。</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8.近三年内，参选机构（包含母公司和子公司）无重大行贿犯罪记录，无重大负面新闻。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9.近三年内，参选机构未在经营活动中因违法行为受到刑事处罚、处以罚款或者没收财产5万元以上、责令停产停业、吊销许可证或者执照等行政处罚。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lang w:val="en-US" w:eastAsia="zh-CN"/>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12.本次遴选活动不接受联合体投标。</w:t>
      </w:r>
    </w:p>
    <w:p>
      <w:pPr>
        <w:ind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eastAsia="zh-CN"/>
        </w:rPr>
        <w:t>①</w:t>
      </w: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均提供承诺函原件并加盖鲜章</w:t>
      </w:r>
      <w:r>
        <w:rPr>
          <w:rFonts w:hint="eastAsia" w:ascii="仿宋" w:hAnsi="仿宋" w:eastAsia="仿宋"/>
          <w:b/>
          <w:bCs/>
          <w:sz w:val="28"/>
          <w:szCs w:val="28"/>
          <w:highlight w:val="none"/>
          <w:lang w:eastAsia="zh-CN"/>
        </w:rPr>
        <w:t>；</w:t>
      </w:r>
    </w:p>
    <w:p>
      <w:pPr>
        <w:ind w:firstLine="562" w:firstLineChars="200"/>
        <w:rPr>
          <w:rFonts w:hint="eastAsia" w:ascii="仿宋" w:hAnsi="仿宋" w:eastAsia="仿宋" w:cstheme="minorBidi"/>
          <w:b/>
          <w:bCs/>
          <w:sz w:val="28"/>
          <w:szCs w:val="28"/>
          <w:highlight w:val="none"/>
        </w:rPr>
      </w:pPr>
      <w:r>
        <w:rPr>
          <w:rFonts w:hint="eastAsia" w:ascii="仿宋" w:hAnsi="仿宋" w:eastAsia="仿宋"/>
          <w:b/>
          <w:bCs/>
          <w:sz w:val="28"/>
          <w:szCs w:val="28"/>
          <w:highlight w:val="none"/>
          <w:lang w:eastAsia="zh-CN"/>
        </w:rPr>
        <w:t>②</w:t>
      </w:r>
      <w:r>
        <w:rPr>
          <w:rFonts w:hint="eastAsia" w:ascii="仿宋" w:hAnsi="仿宋" w:eastAsia="仿宋" w:cstheme="minorBidi"/>
          <w:b/>
          <w:bCs/>
          <w:sz w:val="28"/>
          <w:szCs w:val="28"/>
          <w:highlight w:val="none"/>
        </w:rPr>
        <w:t>参</w:t>
      </w:r>
      <w:r>
        <w:rPr>
          <w:rFonts w:hint="eastAsia" w:ascii="仿宋" w:hAnsi="仿宋" w:eastAsia="仿宋" w:cstheme="minorBidi"/>
          <w:b/>
          <w:bCs/>
          <w:sz w:val="28"/>
          <w:szCs w:val="28"/>
          <w:highlight w:val="none"/>
          <w:lang w:eastAsia="zh-CN"/>
        </w:rPr>
        <w:t>选</w:t>
      </w:r>
      <w:r>
        <w:rPr>
          <w:rFonts w:hint="eastAsia" w:ascii="仿宋" w:hAnsi="仿宋" w:eastAsia="仿宋" w:cstheme="minorBidi"/>
          <w:b/>
          <w:bCs/>
          <w:sz w:val="28"/>
          <w:szCs w:val="28"/>
          <w:highlight w:val="none"/>
          <w:lang w:val="en-US" w:eastAsia="zh-CN"/>
        </w:rPr>
        <w:t>机构</w:t>
      </w:r>
      <w:r>
        <w:rPr>
          <w:rFonts w:hint="eastAsia" w:ascii="仿宋" w:hAnsi="仿宋" w:eastAsia="仿宋" w:cstheme="minorBidi"/>
          <w:b/>
          <w:bCs/>
          <w:sz w:val="28"/>
          <w:szCs w:val="28"/>
          <w:highlight w:val="none"/>
        </w:rPr>
        <w:t>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（一）服务内容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*1.免费提供本项目所需 经皮黄疸仪及系统软件（参选机构需提供基础数量经皮黄疸仪，并根据我院业务量的增长匹配增加一定数量的经皮黄疸仪及相应系统软件）。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2.用户培训、宣教及签约服务：参选机构需对用户提供设备使用培训及宣教，并签署相关知情同意书，知情同意书内容需经院方审核。</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*3.监护对象在使用远程黄疸监测期间因设备或软件相关问题、监测数据错误、费用问题等所引发的纠纷须由参选机构完全负责处理并承担相关责任。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*4.需保密用户的相关个人信息，不可用于非本项目其他用途。</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5.如需在院内进行宣传册、海报等宣传，相关内容需经院方审核，且放在指定地点。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6.承诺对用户提供优质服务，并提供客服热线电话，及时响应客户的服务请求或投诉建议。</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（二）设备及软件系统功能需求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1.经皮黄疸仪设备要求：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（1）功能：采集经皮黄疸数据，并实时上传系统；</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（2）有质检报告书；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（3）有定期计量校准，及时、定期维护；</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2.软件系统功能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*（1）具有新生儿黄疸数据AI智能分析功能（提供软件注册证）。</w:t>
      </w:r>
    </w:p>
    <w:p>
      <w:pPr>
        <w:pStyle w:val="2"/>
        <w:ind w:firstLine="560" w:firstLineChars="200"/>
        <w:rPr>
          <w:rFonts w:hint="default"/>
          <w:lang w:val="en-US" w:eastAsia="zh-CN"/>
        </w:rPr>
      </w:pPr>
      <w:r>
        <w:rPr>
          <w:rFonts w:hint="eastAsia" w:ascii="仿宋" w:hAnsi="仿宋" w:eastAsia="仿宋"/>
          <w:sz w:val="28"/>
          <w:szCs w:val="28"/>
          <w:highlight w:val="none"/>
          <w:lang w:val="en-US" w:eastAsia="zh-CN"/>
        </w:rPr>
        <w:t>*（2）24 小时符合资质要求的人工线上判读服务（提供互联网医院相关资质）。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（3）具有异常监护报告自动告知功能：系统能够将异常监护报告自动告知到家长手机中。</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*（4）具有异常监护提示功能：如有异常监护，系统会自动通过短信提示或公司方工作人员会电话进行干预提醒。</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（5）软件系统患者端：提供测量数据查看功能及由测量数据记录向医生发起问医的功能，提供查看问医信息和医生回复信息功能。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（6）软件系统医生端：通过院方医生手机APP可以查看新生儿的监护信息及曲线，并具有监护诊断结果回复功能</w:t>
      </w:r>
    </w:p>
    <w:p>
      <w:pPr>
        <w:numPr>
          <w:ilvl w:val="0"/>
          <w:numId w:val="2"/>
        </w:num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收费模式</w:t>
      </w:r>
    </w:p>
    <w:p>
      <w:pPr>
        <w:numPr>
          <w:ilvl w:val="-1"/>
          <w:numId w:val="0"/>
        </w:numPr>
        <w:spacing w:line="360" w:lineRule="auto"/>
        <w:ind w:firstLine="840" w:firstLineChars="3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收费具有安全性及多样性，可开通银联、微信和支付宝等多种支付通道，由参选机构负责向用户收费。</w:t>
      </w:r>
    </w:p>
    <w:p>
      <w:pPr>
        <w:numPr>
          <w:ilvl w:val="-1"/>
          <w:numId w:val="0"/>
        </w:numPr>
        <w:spacing w:line="360" w:lineRule="auto"/>
        <w:ind w:firstLine="562" w:firstLineChars="200"/>
        <w:jc w:val="both"/>
        <w:rPr>
          <w:rFonts w:hint="eastAsia" w:ascii="仿宋" w:hAnsi="仿宋" w:eastAsia="仿宋"/>
          <w:sz w:val="28"/>
          <w:szCs w:val="28"/>
          <w:highlight w:val="none"/>
          <w:lang w:val="en-US"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val="en-US" w:eastAsia="zh-CN"/>
        </w:rPr>
        <w:t>以上16项</w:t>
      </w:r>
      <w:r>
        <w:rPr>
          <w:rFonts w:hint="eastAsia" w:ascii="仿宋" w:hAnsi="仿宋" w:eastAsia="仿宋"/>
          <w:b/>
          <w:bCs/>
          <w:sz w:val="28"/>
          <w:szCs w:val="28"/>
          <w:highlight w:val="none"/>
        </w:rPr>
        <w:t>均提供承诺函原件</w:t>
      </w:r>
      <w:r>
        <w:rPr>
          <w:rFonts w:hint="eastAsia" w:ascii="仿宋" w:hAnsi="仿宋" w:eastAsia="仿宋"/>
          <w:b/>
          <w:bCs/>
          <w:sz w:val="28"/>
          <w:szCs w:val="28"/>
          <w:highlight w:val="none"/>
          <w:lang w:val="en-US" w:eastAsia="zh-CN"/>
        </w:rPr>
        <w:t>或证明材料复印件</w:t>
      </w:r>
      <w:r>
        <w:rPr>
          <w:rFonts w:hint="eastAsia" w:ascii="仿宋" w:hAnsi="仿宋" w:eastAsia="仿宋"/>
          <w:b/>
          <w:bCs/>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lang w:eastAsia="zh-CN"/>
        </w:rPr>
        <w:t>及</w:t>
      </w:r>
      <w:r>
        <w:rPr>
          <w:rFonts w:ascii="仿宋" w:hAnsi="仿宋" w:eastAsia="仿宋" w:cs="仿宋"/>
          <w:color w:val="000000"/>
          <w:sz w:val="28"/>
        </w:rPr>
        <w:t>质量控制流程。</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产品效果图等</w:t>
      </w:r>
      <w:r>
        <w:rPr>
          <w:rFonts w:hint="eastAsia" w:ascii="仿宋" w:hAnsi="仿宋" w:eastAsia="仿宋" w:cs="仿宋"/>
          <w:color w:val="000000"/>
          <w:sz w:val="28"/>
          <w:lang w:eastAsia="zh-CN"/>
        </w:rPr>
        <w:t>。</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w:t>
      </w:r>
      <w:r>
        <w:rPr>
          <w:rFonts w:ascii="仿宋" w:hAnsi="仿宋" w:eastAsia="仿宋" w:cs="仿宋"/>
          <w:color w:val="000000"/>
          <w:sz w:val="28"/>
        </w:rPr>
        <w:t>业绩展示。</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4.</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pPr>
        <w:ind w:firstLine="560" w:firstLineChars="200"/>
        <w:rPr>
          <w:rFonts w:ascii="仿宋" w:hAnsi="仿宋" w:eastAsia="仿宋" w:cs="仿宋"/>
          <w:color w:val="000000"/>
          <w:sz w:val="28"/>
        </w:rPr>
      </w:pP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left="0" w:leftChars="0" w:firstLine="0" w:firstLineChars="0"/>
      </w:pPr>
    </w:p>
    <w:p>
      <w:pPr>
        <w:pStyle w:val="5"/>
        <w:ind w:left="0" w:leftChars="0" w:firstLine="0" w:firstLineChars="0"/>
      </w:pPr>
    </w:p>
    <w:p>
      <w:pPr>
        <w:pStyle w:val="5"/>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pPr>
        <w:pStyle w:val="24"/>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lang w:eastAsia="zh-CN"/>
        </w:rPr>
        <w:t>参选机构向医院缴纳费用</w:t>
      </w:r>
    </w:p>
    <w:tbl>
      <w:tblPr>
        <w:tblStyle w:val="18"/>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价格</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rPr>
              <w:t>医院综合管理费</w:t>
            </w:r>
          </w:p>
        </w:tc>
        <w:tc>
          <w:tcPr>
            <w:tcW w:w="3097"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（元/年）</w:t>
            </w:r>
          </w:p>
        </w:tc>
        <w:tc>
          <w:tcPr>
            <w:tcW w:w="3100" w:type="dxa"/>
            <w:noWrap w:val="0"/>
            <w:vAlign w:val="center"/>
          </w:tcPr>
          <w:p>
            <w:pPr>
              <w:pStyle w:val="24"/>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技术指导费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（%/月）</w:t>
            </w:r>
          </w:p>
        </w:tc>
        <w:tc>
          <w:tcPr>
            <w:tcW w:w="310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eastAsia="zh-CN"/>
              </w:rPr>
              <w:t>参选机构</w:t>
            </w:r>
            <w:r>
              <w:rPr>
                <w:rFonts w:hint="eastAsia" w:ascii="仿宋" w:hAnsi="仿宋" w:eastAsia="仿宋"/>
                <w:sz w:val="24"/>
                <w:szCs w:val="24"/>
              </w:rPr>
              <w:t>每月总收入的百分比</w:t>
            </w: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sz w:val="24"/>
          <w:szCs w:val="24"/>
          <w:lang w:val="en-US" w:eastAsia="zh-CN"/>
        </w:rPr>
        <w:t>2.参选机构向用户收取费用</w:t>
      </w:r>
    </w:p>
    <w:tbl>
      <w:tblPr>
        <w:tblStyle w:val="1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价格</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项目服务费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w:t>
            </w:r>
            <w:r>
              <w:rPr>
                <w:rFonts w:hint="eastAsia" w:ascii="仿宋" w:hAnsi="仿宋" w:eastAsia="仿宋"/>
                <w:sz w:val="24"/>
                <w:szCs w:val="24"/>
                <w:lang w:eastAsia="zh-CN"/>
              </w:rPr>
              <w:t>天</w:t>
            </w:r>
            <w:r>
              <w:rPr>
                <w:rFonts w:hint="eastAsia" w:ascii="仿宋" w:hAnsi="仿宋" w:eastAsia="仿宋"/>
                <w:sz w:val="24"/>
                <w:szCs w:val="24"/>
              </w:rPr>
              <w:t>）</w:t>
            </w:r>
          </w:p>
        </w:tc>
        <w:tc>
          <w:tcPr>
            <w:tcW w:w="3100" w:type="dxa"/>
            <w:noWrap w:val="0"/>
            <w:vAlign w:val="center"/>
          </w:tcPr>
          <w:p>
            <w:pPr>
              <w:pStyle w:val="24"/>
              <w:ind w:firstLine="0" w:firstLineChars="0"/>
              <w:jc w:val="center"/>
              <w:rPr>
                <w:rFonts w:hint="eastAsia" w:ascii="仿宋" w:hAnsi="仿宋" w:eastAsia="仿宋"/>
                <w:sz w:val="24"/>
                <w:szCs w:val="24"/>
              </w:rPr>
            </w:pP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cs="Times New Roman"/>
          <w:sz w:val="24"/>
          <w:szCs w:val="32"/>
          <w:lang w:eastAsia="zh-CN"/>
        </w:rPr>
        <w:t>备注：①</w:t>
      </w:r>
      <w:r>
        <w:rPr>
          <w:rFonts w:hint="eastAsia" w:ascii="仿宋" w:hAnsi="仿宋" w:eastAsia="仿宋" w:cs="Times New Roman"/>
          <w:sz w:val="24"/>
          <w:szCs w:val="32"/>
        </w:rPr>
        <w:t>医院综合管理费、技术指导费(此处报价为医院实际所得费用)</w:t>
      </w:r>
      <w:r>
        <w:rPr>
          <w:rFonts w:hint="eastAsia" w:ascii="仿宋" w:hAnsi="仿宋" w:eastAsia="仿宋" w:cs="Times New Roman"/>
          <w:sz w:val="24"/>
          <w:szCs w:val="32"/>
          <w:lang w:eastAsia="zh-CN"/>
        </w:rPr>
        <w:t>。</w:t>
      </w:r>
    </w:p>
    <w:p>
      <w:pPr>
        <w:ind w:firstLine="720" w:firstLineChars="300"/>
        <w:rPr>
          <w:rFonts w:hint="eastAsia" w:ascii="仿宋" w:hAnsi="仿宋" w:eastAsia="仿宋" w:cs="Times New Roman"/>
          <w:sz w:val="24"/>
          <w:szCs w:val="32"/>
        </w:rPr>
      </w:pPr>
      <w:r>
        <w:rPr>
          <w:rFonts w:hint="eastAsia" w:ascii="仿宋" w:hAnsi="仿宋" w:eastAsia="仿宋" w:cs="Times New Roman"/>
          <w:sz w:val="24"/>
          <w:szCs w:val="32"/>
          <w:lang w:eastAsia="zh-CN"/>
        </w:rPr>
        <w:t>②</w:t>
      </w:r>
      <w:r>
        <w:rPr>
          <w:rFonts w:hint="eastAsia" w:ascii="仿宋" w:hAnsi="仿宋" w:eastAsia="仿宋" w:cs="Times New Roman"/>
          <w:sz w:val="24"/>
          <w:szCs w:val="32"/>
          <w:lang w:val="en-US" w:eastAsia="zh-CN"/>
        </w:rPr>
        <w:t>项目服务费</w:t>
      </w:r>
      <w:r>
        <w:rPr>
          <w:rFonts w:hint="eastAsia" w:ascii="仿宋" w:hAnsi="仿宋" w:eastAsia="仿宋" w:cs="Times New Roman"/>
          <w:sz w:val="24"/>
          <w:szCs w:val="32"/>
        </w:rPr>
        <w:t>由</w:t>
      </w:r>
      <w:r>
        <w:rPr>
          <w:rFonts w:hint="eastAsia" w:ascii="仿宋" w:hAnsi="仿宋" w:eastAsia="仿宋" w:cs="Times New Roman"/>
          <w:sz w:val="24"/>
          <w:szCs w:val="32"/>
          <w:lang w:eastAsia="zh-CN"/>
        </w:rPr>
        <w:t>参选机构</w:t>
      </w:r>
      <w:r>
        <w:rPr>
          <w:rFonts w:hint="eastAsia" w:ascii="仿宋" w:hAnsi="仿宋" w:eastAsia="仿宋" w:cs="Times New Roman"/>
          <w:sz w:val="24"/>
          <w:szCs w:val="32"/>
        </w:rPr>
        <w:t>与</w:t>
      </w:r>
      <w:r>
        <w:rPr>
          <w:rFonts w:hint="eastAsia" w:ascii="仿宋" w:hAnsi="仿宋" w:eastAsia="仿宋" w:cs="Times New Roman"/>
          <w:sz w:val="24"/>
          <w:szCs w:val="32"/>
          <w:lang w:eastAsia="zh-CN"/>
        </w:rPr>
        <w:t>用户</w:t>
      </w:r>
      <w:r>
        <w:rPr>
          <w:rFonts w:hint="eastAsia" w:ascii="仿宋" w:hAnsi="仿宋" w:eastAsia="仿宋" w:cs="Times New Roman"/>
          <w:sz w:val="24"/>
          <w:szCs w:val="32"/>
        </w:rPr>
        <w:t>签订相关协议并收取，医院不参与收费过程。</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sz w:val="24"/>
          <w:szCs w:val="32"/>
          <w:highlight w:val="none"/>
          <w:lang w:eastAsia="zh-CN"/>
        </w:rPr>
        <w:t>③</w:t>
      </w:r>
      <w:r>
        <w:rPr>
          <w:rFonts w:hint="eastAsia" w:ascii="仿宋" w:hAnsi="仿宋" w:eastAsia="仿宋" w:cs="仿宋"/>
          <w:color w:val="auto"/>
          <w:spacing w:val="-6"/>
          <w:sz w:val="24"/>
          <w:szCs w:val="21"/>
          <w:highlight w:val="none"/>
          <w:vertAlign w:val="baseline"/>
          <w:lang w:val="en-US" w:eastAsia="zh-CN"/>
        </w:rPr>
        <w:t>“报价表”为多页的，每页均需由法定代表人或授权代表签字并盖参选机构鲜章。</w:t>
      </w:r>
    </w:p>
    <w:p>
      <w:pPr>
        <w:ind w:firstLine="720" w:firstLineChars="300"/>
        <w:rPr>
          <w:rFonts w:hint="eastAsia" w:ascii="仿宋" w:hAnsi="仿宋" w:eastAsia="仿宋"/>
          <w:sz w:val="24"/>
          <w:szCs w:val="32"/>
          <w:highlight w:val="none"/>
          <w:lang w:eastAsia="zh-CN"/>
        </w:rPr>
      </w:pPr>
      <w:r>
        <w:rPr>
          <w:rFonts w:hint="eastAsia" w:ascii="仿宋" w:hAnsi="仿宋" w:eastAsia="仿宋"/>
          <w:sz w:val="24"/>
          <w:szCs w:val="32"/>
          <w:highlight w:val="none"/>
          <w:lang w:eastAsia="zh-CN"/>
        </w:rPr>
        <w:t>④</w:t>
      </w:r>
      <w:r>
        <w:rPr>
          <w:rFonts w:hint="eastAsia" w:ascii="仿宋" w:hAnsi="仿宋" w:eastAsia="仿宋"/>
          <w:sz w:val="24"/>
          <w:szCs w:val="32"/>
          <w:highlight w:val="none"/>
        </w:rPr>
        <w:t>报价是</w:t>
      </w:r>
      <w:r>
        <w:rPr>
          <w:rFonts w:hint="eastAsia" w:ascii="仿宋" w:hAnsi="仿宋" w:eastAsia="仿宋" w:cs="Times New Roman"/>
          <w:sz w:val="24"/>
          <w:szCs w:val="32"/>
          <w:highlight w:val="none"/>
          <w:lang w:eastAsia="zh-CN"/>
        </w:rPr>
        <w:t>参选机构</w:t>
      </w:r>
      <w:r>
        <w:rPr>
          <w:rFonts w:hint="eastAsia" w:ascii="仿宋" w:hAnsi="仿宋" w:eastAsia="仿宋"/>
          <w:sz w:val="24"/>
          <w:szCs w:val="32"/>
          <w:highlight w:val="none"/>
        </w:rPr>
        <w:t>完成本项目全部工作内容的费用，包括完成本项目所涉及的人工劳务、设备投入、材料、知识产权、利润、风险、税金等一切费用。</w:t>
      </w:r>
    </w:p>
    <w:p>
      <w:pPr>
        <w:pStyle w:val="5"/>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rPr>
        <w:t>日期：   年    月    日</w:t>
      </w: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9187"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233"/>
        <w:gridCol w:w="1081"/>
        <w:gridCol w:w="3447"/>
        <w:gridCol w:w="993"/>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83"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3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1081"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447"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993"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1550"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价格（30%）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1.医院综合管理费：价格最高的投标报价为评标基准价，其价格为满分。其他投标人的价格分统一按照下列公式计算：投标报价得分=（投标报价/评标基准价）×12。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2.技术指导费：报价比例最高的投标报价为评标基准价，其价格为满分。其他投标人的价格分统一按照下列公式计算：投标报价得分=（投标报价/评标基准价）×12。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3.项目服务费：价格最低的投标报价为评标基准价，其价格为满分。其他投标人的价格分统一按照下列公式计算：投标报价得分=（评标基准价/投标报价）×6。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技术要求（46%）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1.参选机构带*条款的响应得分规则如下：全部满足带*条为满分，不满足一条扣6分，扣完为止。</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5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①响应内容应提供承诺函或其他纸质证明材料并逐页加盖参选机构鲜章。②带*条款为重要条款的响应。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的条款以外的所有条款）全部满足为满分，不满足一条扣1分，扣完为止。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5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业绩证明文件，参选机构提供2020年以来，在三级及以上医院类似合作案例，以3家为基数，满足得3分，不满足不得分；每超过1家加1分，最多加3分。</w:t>
            </w:r>
          </w:p>
        </w:tc>
        <w:tc>
          <w:tcPr>
            <w:tcW w:w="9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需提供合同复印件及医院等级证明材料并加盖参选机构鲜章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合作方案与服务能力</w:t>
            </w:r>
          </w:p>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18分，有一项未提供扣6分，扣完为止。</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提</w:t>
            </w:r>
            <w:r>
              <w:rPr>
                <w:rFonts w:hint="eastAsia" w:ascii="仿宋" w:hAnsi="仿宋" w:eastAsia="仿宋" w:cs="仿宋"/>
                <w:i w:val="0"/>
                <w:iCs w:val="0"/>
                <w:color w:val="000000"/>
                <w:kern w:val="0"/>
                <w:sz w:val="24"/>
                <w:szCs w:val="24"/>
                <w:u w:val="none"/>
                <w:lang w:val="en-US" w:eastAsia="zh-CN" w:bidi="ar"/>
              </w:rPr>
              <w:t>供证明材料并</w:t>
            </w:r>
            <w:r>
              <w:rPr>
                <w:rFonts w:hint="eastAsia" w:ascii="仿宋" w:hAnsi="仿宋" w:eastAsia="仿宋" w:cs="仿宋"/>
                <w:i w:val="0"/>
                <w:iCs w:val="0"/>
                <w:color w:val="000000"/>
                <w:kern w:val="0"/>
                <w:sz w:val="24"/>
                <w:szCs w:val="24"/>
                <w:u w:val="none"/>
                <w:lang w:eastAsia="zh-CN" w:bidi="ar"/>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仿宋" w:hAnsi="仿宋" w:eastAsia="仿宋" w:cs="仿宋"/>
                <w:i w:val="0"/>
                <w:iCs w:val="0"/>
                <w:color w:val="000000"/>
                <w:sz w:val="24"/>
                <w:szCs w:val="24"/>
                <w:u w:val="none"/>
              </w:rPr>
            </w:pPr>
          </w:p>
        </w:tc>
      </w:tr>
    </w:tbl>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31DDD"/>
    <w:multiLevelType w:val="singleLevel"/>
    <w:tmpl w:val="B1931DDD"/>
    <w:lvl w:ilvl="0" w:tentative="0">
      <w:start w:val="3"/>
      <w:numFmt w:val="chineseCounting"/>
      <w:suff w:val="nothing"/>
      <w:lvlText w:val="（%1）"/>
      <w:lvlJc w:val="left"/>
      <w:rPr>
        <w:rFonts w:hint="eastAsia"/>
      </w:rPr>
    </w:lvl>
  </w:abstractNum>
  <w:abstractNum w:abstractNumId="1">
    <w:nsid w:val="63328C52"/>
    <w:multiLevelType w:val="singleLevel"/>
    <w:tmpl w:val="63328C5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65917A1"/>
    <w:rsid w:val="068A4895"/>
    <w:rsid w:val="07865CC1"/>
    <w:rsid w:val="08B12BD3"/>
    <w:rsid w:val="090917E1"/>
    <w:rsid w:val="09EE37F9"/>
    <w:rsid w:val="0AC21C32"/>
    <w:rsid w:val="0AD777BB"/>
    <w:rsid w:val="0AF93291"/>
    <w:rsid w:val="0C3D1EB8"/>
    <w:rsid w:val="0C801DA5"/>
    <w:rsid w:val="0CB40DE6"/>
    <w:rsid w:val="0D0D639A"/>
    <w:rsid w:val="0D4D6A8C"/>
    <w:rsid w:val="0D5B6275"/>
    <w:rsid w:val="0EC10A41"/>
    <w:rsid w:val="0EC61D01"/>
    <w:rsid w:val="0F19286B"/>
    <w:rsid w:val="0F662CE2"/>
    <w:rsid w:val="0FE11533"/>
    <w:rsid w:val="10A31851"/>
    <w:rsid w:val="10B30F68"/>
    <w:rsid w:val="11403123"/>
    <w:rsid w:val="12244F80"/>
    <w:rsid w:val="12485112"/>
    <w:rsid w:val="129B01A8"/>
    <w:rsid w:val="135103B7"/>
    <w:rsid w:val="13A659AB"/>
    <w:rsid w:val="146A0021"/>
    <w:rsid w:val="14E81685"/>
    <w:rsid w:val="156D00FF"/>
    <w:rsid w:val="159F500E"/>
    <w:rsid w:val="15B036FB"/>
    <w:rsid w:val="174D31CB"/>
    <w:rsid w:val="17A56CAE"/>
    <w:rsid w:val="182C48E3"/>
    <w:rsid w:val="186175D4"/>
    <w:rsid w:val="194062FB"/>
    <w:rsid w:val="1A2B77F4"/>
    <w:rsid w:val="1AB36AD5"/>
    <w:rsid w:val="1B5E59A7"/>
    <w:rsid w:val="1B783377"/>
    <w:rsid w:val="1BE3708C"/>
    <w:rsid w:val="1C080CFB"/>
    <w:rsid w:val="1C393D1E"/>
    <w:rsid w:val="1D2B664D"/>
    <w:rsid w:val="1D77071A"/>
    <w:rsid w:val="1DDA0EB6"/>
    <w:rsid w:val="1E55507B"/>
    <w:rsid w:val="1F0617AF"/>
    <w:rsid w:val="1F9F2057"/>
    <w:rsid w:val="1FC20CFF"/>
    <w:rsid w:val="20296706"/>
    <w:rsid w:val="204C362A"/>
    <w:rsid w:val="20C368F8"/>
    <w:rsid w:val="211E7B23"/>
    <w:rsid w:val="21503898"/>
    <w:rsid w:val="225E4AC7"/>
    <w:rsid w:val="22E14319"/>
    <w:rsid w:val="232F02A4"/>
    <w:rsid w:val="27363334"/>
    <w:rsid w:val="286640ED"/>
    <w:rsid w:val="286D5C93"/>
    <w:rsid w:val="29CA26C7"/>
    <w:rsid w:val="29EC4C3C"/>
    <w:rsid w:val="2AA40CE7"/>
    <w:rsid w:val="2AB071E6"/>
    <w:rsid w:val="2AB71FB6"/>
    <w:rsid w:val="2B3763B3"/>
    <w:rsid w:val="2BA07916"/>
    <w:rsid w:val="2BD30E9C"/>
    <w:rsid w:val="2BD630A1"/>
    <w:rsid w:val="2C3F2356"/>
    <w:rsid w:val="2CB76CC5"/>
    <w:rsid w:val="2CCA6A56"/>
    <w:rsid w:val="2D436988"/>
    <w:rsid w:val="2E920B22"/>
    <w:rsid w:val="2F643C4E"/>
    <w:rsid w:val="33092244"/>
    <w:rsid w:val="33FE18E2"/>
    <w:rsid w:val="3489489A"/>
    <w:rsid w:val="350C467A"/>
    <w:rsid w:val="35106D39"/>
    <w:rsid w:val="35853A9F"/>
    <w:rsid w:val="358E7516"/>
    <w:rsid w:val="36406C01"/>
    <w:rsid w:val="36D52B69"/>
    <w:rsid w:val="374C704E"/>
    <w:rsid w:val="3787194D"/>
    <w:rsid w:val="383051EC"/>
    <w:rsid w:val="392C4B7E"/>
    <w:rsid w:val="396A15C3"/>
    <w:rsid w:val="3B32271F"/>
    <w:rsid w:val="3B84310D"/>
    <w:rsid w:val="3C676D43"/>
    <w:rsid w:val="3CEA420A"/>
    <w:rsid w:val="3CEE1D4C"/>
    <w:rsid w:val="3DA908AC"/>
    <w:rsid w:val="3DCC55BB"/>
    <w:rsid w:val="3F5D2B3A"/>
    <w:rsid w:val="3F9F4367"/>
    <w:rsid w:val="3FBB48C6"/>
    <w:rsid w:val="3FE0432D"/>
    <w:rsid w:val="3FFC1167"/>
    <w:rsid w:val="40270DAD"/>
    <w:rsid w:val="40955117"/>
    <w:rsid w:val="412C40D1"/>
    <w:rsid w:val="413C37E5"/>
    <w:rsid w:val="445E4006"/>
    <w:rsid w:val="452E25E2"/>
    <w:rsid w:val="453B46DA"/>
    <w:rsid w:val="459D541B"/>
    <w:rsid w:val="45AC0314"/>
    <w:rsid w:val="4608590C"/>
    <w:rsid w:val="4621793D"/>
    <w:rsid w:val="462A4554"/>
    <w:rsid w:val="46A77952"/>
    <w:rsid w:val="479240E4"/>
    <w:rsid w:val="48387928"/>
    <w:rsid w:val="487A3C34"/>
    <w:rsid w:val="4B3612CD"/>
    <w:rsid w:val="4B466FC9"/>
    <w:rsid w:val="4D001B6A"/>
    <w:rsid w:val="4D761E2D"/>
    <w:rsid w:val="4D875AEF"/>
    <w:rsid w:val="4DF71675"/>
    <w:rsid w:val="4E6E7530"/>
    <w:rsid w:val="52024F4A"/>
    <w:rsid w:val="521C7D39"/>
    <w:rsid w:val="52725202"/>
    <w:rsid w:val="53184E30"/>
    <w:rsid w:val="5336549F"/>
    <w:rsid w:val="557A2C1D"/>
    <w:rsid w:val="5587107B"/>
    <w:rsid w:val="55BF6A67"/>
    <w:rsid w:val="560C305F"/>
    <w:rsid w:val="57D63138"/>
    <w:rsid w:val="58110BCB"/>
    <w:rsid w:val="58D603B7"/>
    <w:rsid w:val="59EE3C8E"/>
    <w:rsid w:val="5B5E0F00"/>
    <w:rsid w:val="5D6705E7"/>
    <w:rsid w:val="5DDE0EF2"/>
    <w:rsid w:val="5EF02608"/>
    <w:rsid w:val="5F174C09"/>
    <w:rsid w:val="5F213199"/>
    <w:rsid w:val="5F2E3793"/>
    <w:rsid w:val="60470FEA"/>
    <w:rsid w:val="608F7035"/>
    <w:rsid w:val="61A6391B"/>
    <w:rsid w:val="61E723CC"/>
    <w:rsid w:val="621C1D54"/>
    <w:rsid w:val="62785FB1"/>
    <w:rsid w:val="62C61B62"/>
    <w:rsid w:val="631A75CF"/>
    <w:rsid w:val="637D216D"/>
    <w:rsid w:val="63CB4828"/>
    <w:rsid w:val="655B26C1"/>
    <w:rsid w:val="65983C87"/>
    <w:rsid w:val="66B44169"/>
    <w:rsid w:val="672572C9"/>
    <w:rsid w:val="67FC610F"/>
    <w:rsid w:val="6A372895"/>
    <w:rsid w:val="6C66644F"/>
    <w:rsid w:val="6C830396"/>
    <w:rsid w:val="6C8C675E"/>
    <w:rsid w:val="6C8D626A"/>
    <w:rsid w:val="6D732880"/>
    <w:rsid w:val="6E362785"/>
    <w:rsid w:val="6F1E2035"/>
    <w:rsid w:val="6FA24510"/>
    <w:rsid w:val="701D28B0"/>
    <w:rsid w:val="7148086A"/>
    <w:rsid w:val="71AE3117"/>
    <w:rsid w:val="73EF0213"/>
    <w:rsid w:val="7478299F"/>
    <w:rsid w:val="748950FC"/>
    <w:rsid w:val="7571237D"/>
    <w:rsid w:val="75A45B38"/>
    <w:rsid w:val="75C97621"/>
    <w:rsid w:val="766537ED"/>
    <w:rsid w:val="767710B2"/>
    <w:rsid w:val="768F7938"/>
    <w:rsid w:val="77063B4F"/>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C35590"/>
    <w:rsid w:val="7DC01526"/>
    <w:rsid w:val="7F840255"/>
    <w:rsid w:val="7FA75CF2"/>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annotation text"/>
    <w:basedOn w:val="1"/>
    <w:link w:val="27"/>
    <w:semiHidden/>
    <w:unhideWhenUsed/>
    <w:qFormat/>
    <w:uiPriority w:val="99"/>
    <w:pPr>
      <w:jc w:val="left"/>
    </w:pPr>
  </w:style>
  <w:style w:type="paragraph" w:styleId="7">
    <w:name w:val="Body Text Indent"/>
    <w:basedOn w:val="1"/>
    <w:qFormat/>
    <w:uiPriority w:val="0"/>
    <w:pPr>
      <w:ind w:firstLine="660"/>
    </w:pPr>
    <w:rPr>
      <w:rFonts w:ascii="宋体" w:hAnsi="宋体"/>
      <w:color w:val="000000"/>
      <w:kern w:val="0"/>
      <w:sz w:val="24"/>
      <w:szCs w:val="24"/>
    </w:rPr>
  </w:style>
  <w:style w:type="paragraph" w:styleId="8">
    <w:name w:val="Plain Text"/>
    <w:basedOn w:val="1"/>
    <w:unhideWhenUsed/>
    <w:qFormat/>
    <w:uiPriority w:val="99"/>
    <w:rPr>
      <w:rFonts w:ascii="宋体" w:hAnsi="Courier New" w:eastAsia="宋体"/>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6"/>
    <w:next w:val="6"/>
    <w:link w:val="28"/>
    <w:semiHidden/>
    <w:unhideWhenUsed/>
    <w:qFormat/>
    <w:uiPriority w:val="99"/>
    <w:rPr>
      <w:b/>
      <w:bCs/>
    </w:rPr>
  </w:style>
  <w:style w:type="paragraph" w:styleId="15">
    <w:name w:val="Body Text First Indent"/>
    <w:basedOn w:val="2"/>
    <w:next w:val="1"/>
    <w:qFormat/>
    <w:uiPriority w:val="0"/>
    <w:pPr>
      <w:ind w:firstLine="420" w:firstLineChars="100"/>
    </w:pPr>
  </w:style>
  <w:style w:type="paragraph" w:styleId="16">
    <w:name w:val="Body Text First Indent 2"/>
    <w:basedOn w:val="7"/>
    <w:qFormat/>
    <w:uiPriority w:val="0"/>
    <w:pPr>
      <w:ind w:firstLine="42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annotation reference"/>
    <w:basedOn w:val="19"/>
    <w:semiHidden/>
    <w:unhideWhenUsed/>
    <w:qFormat/>
    <w:uiPriority w:val="99"/>
    <w:rPr>
      <w:sz w:val="21"/>
      <w:szCs w:val="21"/>
    </w:rPr>
  </w:style>
  <w:style w:type="paragraph" w:customStyle="1" w:styleId="22">
    <w:name w:val="表格文字"/>
    <w:basedOn w:val="23"/>
    <w:qFormat/>
    <w:uiPriority w:val="0"/>
  </w:style>
  <w:style w:type="paragraph" w:customStyle="1" w:styleId="23">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qFormat/>
    <w:uiPriority w:val="34"/>
    <w:pPr>
      <w:ind w:firstLine="420" w:firstLineChars="200"/>
    </w:p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批注文字 Char"/>
    <w:basedOn w:val="19"/>
    <w:link w:val="6"/>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9"/>
    <w:link w:val="10"/>
    <w:semiHidden/>
    <w:qFormat/>
    <w:uiPriority w:val="99"/>
    <w:rPr>
      <w:sz w:val="18"/>
      <w:szCs w:val="18"/>
    </w:rPr>
  </w:style>
  <w:style w:type="character" w:customStyle="1" w:styleId="30">
    <w:name w:val="日期 Char"/>
    <w:basedOn w:val="19"/>
    <w:link w:val="9"/>
    <w:semiHidden/>
    <w:qFormat/>
    <w:uiPriority w:val="99"/>
  </w:style>
  <w:style w:type="table" w:customStyle="1" w:styleId="31">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6190</Words>
  <Characters>6422</Characters>
  <Lines>49</Lines>
  <Paragraphs>13</Paragraphs>
  <TotalTime>2</TotalTime>
  <ScaleCrop>false</ScaleCrop>
  <LinksUpToDate>false</LinksUpToDate>
  <CharactersWithSpaces>6512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2023-04-18T03:53:53Z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2052-11.8.6.9023</vt:lpwstr>
  </property>
  <property fmtid="{D5CDD505-2E9C-101B-9397-08002B2CF9AE}" pid="4" name="ICV">
    <vt:lpwstr>0834CF87B76242D9AE152AF281516A39</vt:lpwstr>
  </property>
</Properties>
</file>