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ascii="仿宋" w:hAnsi="仿宋" w:eastAsia="仿宋"/>
          <w:sz w:val="28"/>
          <w:szCs w:val="28"/>
        </w:rPr>
      </w:pPr>
      <w:bookmarkStart w:id="0" w:name="_GoBack"/>
      <w:bookmarkEnd w:id="0"/>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附件1：参选机构要求</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8：无围标、串标行为承诺书</w:t>
      </w:r>
    </w:p>
    <w:p>
      <w:pPr>
        <w:outlineLvl w:val="0"/>
        <w:rPr>
          <w:rFonts w:hint="eastAsia" w:ascii="仿宋" w:hAnsi="仿宋" w:eastAsia="仿宋"/>
          <w:sz w:val="28"/>
          <w:szCs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adjustRightInd w:val="0"/>
        <w:snapToGrid w:val="0"/>
        <w:spacing w:line="480" w:lineRule="auto"/>
        <w:ind w:firstLine="640"/>
        <w:jc w:val="center"/>
        <w:outlineLvl w:val="0"/>
        <w:rPr>
          <w:rFonts w:hint="eastAsia" w:ascii="仿宋" w:hAnsi="仿宋" w:eastAsia="仿宋"/>
          <w:b/>
          <w:sz w:val="32"/>
          <w:szCs w:val="32"/>
        </w:rPr>
      </w:pPr>
      <w:r>
        <w:rPr>
          <w:rFonts w:hint="eastAsia" w:ascii="仿宋" w:hAnsi="仿宋" w:eastAsia="仿宋"/>
          <w:b/>
          <w:sz w:val="32"/>
          <w:szCs w:val="32"/>
        </w:rPr>
        <w:t>参选机构要求</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pPr>
        <w:numPr>
          <w:ilvl w:val="0"/>
          <w:numId w:val="0"/>
        </w:num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为给新生儿家庭提供更便捷、更优质的黄疸随访服务，我院拟引入有资质的第三方公司合作开展远程黄疸监测项目，“互联网＋远程黄疸监测项目”通过利用智能硬件、软件管理平台相结合，对新生儿胆红素水平进行远程居家动态监测，出现异常数据智能自动提醒，医务人员监控数据变化，发现异常及时引导来院干预，保护新生儿安全。</w:t>
      </w:r>
    </w:p>
    <w:p>
      <w:pPr>
        <w:numPr>
          <w:ilvl w:val="0"/>
          <w:numId w:val="0"/>
        </w:num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由第三方服务机构负责提供项目所需设备、软件、</w:t>
      </w:r>
      <w:r>
        <w:rPr>
          <w:rFonts w:hint="eastAsia" w:ascii="仿宋" w:hAnsi="仿宋" w:eastAsia="仿宋" w:cstheme="minorBidi"/>
          <w:b w:val="0"/>
          <w:bCs w:val="0"/>
          <w:sz w:val="28"/>
          <w:szCs w:val="28"/>
          <w:highlight w:val="none"/>
          <w:lang w:val="en-US" w:eastAsia="zh-CN"/>
        </w:rPr>
        <w:t>判读黄疸监护数据等综合</w:t>
      </w:r>
      <w:r>
        <w:rPr>
          <w:rFonts w:hint="eastAsia" w:ascii="仿宋" w:hAnsi="仿宋" w:eastAsia="仿宋"/>
          <w:sz w:val="28"/>
          <w:szCs w:val="28"/>
          <w:highlight w:val="none"/>
        </w:rPr>
        <w:t>服务</w:t>
      </w:r>
      <w:r>
        <w:rPr>
          <w:rFonts w:hint="eastAsia" w:ascii="仿宋" w:hAnsi="仿宋" w:eastAsia="仿宋"/>
          <w:sz w:val="28"/>
          <w:szCs w:val="28"/>
          <w:highlight w:val="none"/>
          <w:lang w:val="en-US" w:eastAsia="zh-CN"/>
        </w:rPr>
        <w:t>，我院负责临床专业的医疗技术支持，共同为有需要的患者提供远程黄疸监测项目服务。</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1.营业执照（经有效年检，副本复印件）、税务证（国、地税副本复印件）、组织机构代码证（经有效年检，副本复印件）或提供三证合一的营业执照（经有效年检，副本复印件）。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2.法定代表人身份授权书（原件，格式见附件6），法定代表人和经办人身份证复印件。</w:t>
      </w:r>
    </w:p>
    <w:p>
      <w:pPr>
        <w:spacing w:line="360" w:lineRule="auto"/>
        <w:ind w:firstLine="560" w:firstLineChars="200"/>
        <w:rPr>
          <w:rFonts w:hint="eastAsia" w:ascii="仿宋" w:hAnsi="仿宋" w:eastAsia="仿宋" w:cstheme="minorBidi"/>
          <w:sz w:val="28"/>
          <w:szCs w:val="28"/>
          <w:highlight w:val="none"/>
        </w:rPr>
      </w:pPr>
      <w:r>
        <w:rPr>
          <w:rFonts w:hint="eastAsia" w:ascii="仿宋" w:hAnsi="仿宋" w:eastAsia="仿宋" w:cstheme="minorBidi"/>
          <w:sz w:val="28"/>
          <w:szCs w:val="28"/>
          <w:highlight w:val="none"/>
          <w:lang w:eastAsia="zh-CN"/>
        </w:rPr>
        <w:t>3</w:t>
      </w:r>
      <w:r>
        <w:rPr>
          <w:rFonts w:hint="eastAsia" w:ascii="仿宋" w:hAnsi="仿宋" w:eastAsia="仿宋" w:cstheme="minorBidi"/>
          <w:sz w:val="28"/>
          <w:szCs w:val="28"/>
          <w:highlight w:val="none"/>
          <w:lang w:val="en-US" w:eastAsia="zh-CN"/>
        </w:rPr>
        <w:t>.厂家产品授权委托书或协议</w:t>
      </w:r>
      <w:r>
        <w:rPr>
          <w:rFonts w:hint="eastAsia" w:ascii="仿宋" w:hAnsi="仿宋" w:eastAsia="仿宋" w:cstheme="minorBidi"/>
          <w:sz w:val="28"/>
          <w:szCs w:val="28"/>
          <w:highlight w:val="none"/>
        </w:rPr>
        <w:t>（</w:t>
      </w:r>
      <w:r>
        <w:rPr>
          <w:rFonts w:hint="eastAsia" w:ascii="仿宋" w:hAnsi="仿宋" w:eastAsia="仿宋" w:cstheme="minorBidi"/>
          <w:sz w:val="28"/>
          <w:szCs w:val="28"/>
          <w:highlight w:val="none"/>
          <w:lang w:val="en-US" w:eastAsia="zh-CN"/>
        </w:rPr>
        <w:t>提供复印件，</w:t>
      </w:r>
      <w:r>
        <w:rPr>
          <w:rFonts w:hint="eastAsia" w:ascii="仿宋" w:hAnsi="仿宋" w:eastAsia="仿宋" w:cstheme="minorBidi"/>
          <w:sz w:val="28"/>
          <w:szCs w:val="28"/>
          <w:highlight w:val="none"/>
        </w:rPr>
        <w:t>如产品公司投标则不需提供）。</w:t>
      </w:r>
    </w:p>
    <w:p>
      <w:pPr>
        <w:spacing w:line="360" w:lineRule="auto"/>
        <w:ind w:firstLine="560" w:firstLineChars="200"/>
        <w:jc w:val="left"/>
        <w:rPr>
          <w:rFonts w:hint="eastAsia" w:ascii="仿宋" w:hAnsi="仿宋" w:eastAsia="仿宋"/>
          <w:sz w:val="28"/>
          <w:szCs w:val="28"/>
          <w:highlight w:val="yellow"/>
          <w:lang w:val="en-US" w:eastAsia="zh-CN"/>
        </w:rPr>
      </w:pPr>
      <w:r>
        <w:rPr>
          <w:rFonts w:hint="eastAsia" w:ascii="仿宋" w:hAnsi="仿宋" w:eastAsia="仿宋"/>
          <w:sz w:val="28"/>
          <w:szCs w:val="28"/>
          <w:highlight w:val="none"/>
          <w:lang w:val="en-US" w:eastAsia="zh-CN"/>
        </w:rPr>
        <w:t>4.设备生产许可证，注册证。</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5.具有良好的商业信誉和健全的财务会计制度。</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6.具有履行合同所必需的人员、设备和专业技术能力。</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7.具有依法缴纳税收和社会保障资金的良好记录。</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8.近三年内，参选机构（包含母公司和子公司）无重大行贿犯罪记录，无重大负面新闻。</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9.近三年内，参选机构未在经营活动中因违法行为受到刑事处罚、处以罚款或者没收财产5万元以上、责令停产停业、吊销许可证或者执照等行政处罚。</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10.反商业贿赂承诺书（附件7）。</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w:t>
      </w:r>
      <w:r>
        <w:rPr>
          <w:rFonts w:hint="eastAsia" w:ascii="仿宋" w:hAnsi="仿宋" w:eastAsia="仿宋"/>
          <w:sz w:val="28"/>
          <w:szCs w:val="28"/>
          <w:lang w:val="en-US" w:eastAsia="zh-CN"/>
        </w:rPr>
        <w:t>1</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无围标、串标行为承诺书</w:t>
      </w:r>
      <w:r>
        <w:rPr>
          <w:rFonts w:hint="eastAsia" w:ascii="仿宋" w:hAnsi="仿宋" w:eastAsia="仿宋"/>
          <w:sz w:val="28"/>
          <w:szCs w:val="28"/>
          <w:highlight w:val="none"/>
          <w:lang w:eastAsia="zh-CN"/>
        </w:rPr>
        <w:t>（附件</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lang w:eastAsia="zh-CN"/>
        </w:rPr>
        <w:t>）。</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12.本次遴选活动不接受联合体投标。</w:t>
      </w:r>
    </w:p>
    <w:p>
      <w:pPr>
        <w:ind w:firstLine="562" w:firstLineChars="200"/>
        <w:rPr>
          <w:rFonts w:hint="eastAsia" w:ascii="仿宋" w:hAnsi="仿宋" w:eastAsia="仿宋"/>
          <w:b/>
          <w:bCs/>
          <w:sz w:val="28"/>
          <w:szCs w:val="28"/>
          <w:highlight w:val="none"/>
          <w:lang w:eastAsia="zh-CN"/>
        </w:rPr>
      </w:pPr>
      <w:r>
        <w:rPr>
          <w:rFonts w:hint="eastAsia" w:ascii="仿宋" w:hAnsi="仿宋" w:eastAsia="仿宋"/>
          <w:b/>
          <w:bCs/>
          <w:sz w:val="28"/>
          <w:szCs w:val="28"/>
          <w:highlight w:val="none"/>
        </w:rPr>
        <w:t>注：</w:t>
      </w:r>
      <w:r>
        <w:rPr>
          <w:rFonts w:hint="eastAsia" w:ascii="仿宋" w:hAnsi="仿宋" w:eastAsia="仿宋"/>
          <w:b/>
          <w:bCs/>
          <w:sz w:val="28"/>
          <w:szCs w:val="28"/>
          <w:highlight w:val="none"/>
          <w:lang w:eastAsia="zh-CN"/>
        </w:rPr>
        <w:t>①</w:t>
      </w:r>
      <w:r>
        <w:rPr>
          <w:rFonts w:hint="eastAsia" w:ascii="仿宋" w:hAnsi="仿宋" w:eastAsia="仿宋"/>
          <w:b/>
          <w:bCs/>
          <w:sz w:val="28"/>
          <w:szCs w:val="28"/>
          <w:highlight w:val="none"/>
          <w:lang w:val="en-US" w:eastAsia="zh-CN"/>
        </w:rPr>
        <w:t>5</w:t>
      </w:r>
      <w:r>
        <w:rPr>
          <w:rFonts w:hint="eastAsia" w:ascii="仿宋" w:hAnsi="仿宋" w:eastAsia="仿宋"/>
          <w:b/>
          <w:bCs/>
          <w:sz w:val="28"/>
          <w:szCs w:val="28"/>
          <w:highlight w:val="none"/>
        </w:rPr>
        <w:t>—</w:t>
      </w:r>
      <w:r>
        <w:rPr>
          <w:rFonts w:hint="eastAsia" w:ascii="仿宋" w:hAnsi="仿宋" w:eastAsia="仿宋"/>
          <w:b/>
          <w:bCs/>
          <w:sz w:val="28"/>
          <w:szCs w:val="28"/>
          <w:highlight w:val="none"/>
          <w:lang w:val="en-US" w:eastAsia="zh-CN"/>
        </w:rPr>
        <w:t>12</w:t>
      </w:r>
      <w:r>
        <w:rPr>
          <w:rFonts w:hint="eastAsia" w:ascii="仿宋" w:hAnsi="仿宋" w:eastAsia="仿宋"/>
          <w:b/>
          <w:bCs/>
          <w:sz w:val="28"/>
          <w:szCs w:val="28"/>
          <w:highlight w:val="none"/>
        </w:rPr>
        <w:t>均提供承诺函原件并加盖鲜章</w:t>
      </w:r>
      <w:r>
        <w:rPr>
          <w:rFonts w:hint="eastAsia" w:ascii="仿宋" w:hAnsi="仿宋" w:eastAsia="仿宋"/>
          <w:b/>
          <w:bCs/>
          <w:sz w:val="28"/>
          <w:szCs w:val="28"/>
          <w:highlight w:val="none"/>
          <w:lang w:eastAsia="zh-CN"/>
        </w:rPr>
        <w:t>；</w:t>
      </w:r>
    </w:p>
    <w:p>
      <w:pPr>
        <w:ind w:firstLine="562" w:firstLineChars="200"/>
        <w:rPr>
          <w:rFonts w:hint="eastAsia" w:ascii="仿宋" w:hAnsi="仿宋" w:eastAsia="仿宋" w:cstheme="minorBidi"/>
          <w:b/>
          <w:bCs/>
          <w:sz w:val="28"/>
          <w:szCs w:val="28"/>
          <w:highlight w:val="none"/>
        </w:rPr>
      </w:pPr>
      <w:r>
        <w:rPr>
          <w:rFonts w:hint="eastAsia" w:ascii="仿宋" w:hAnsi="仿宋" w:eastAsia="仿宋"/>
          <w:b/>
          <w:bCs/>
          <w:sz w:val="28"/>
          <w:szCs w:val="28"/>
          <w:highlight w:val="none"/>
          <w:lang w:eastAsia="zh-CN"/>
        </w:rPr>
        <w:t>②</w:t>
      </w:r>
      <w:r>
        <w:rPr>
          <w:rFonts w:hint="eastAsia" w:ascii="仿宋" w:hAnsi="仿宋" w:eastAsia="仿宋" w:cstheme="minorBidi"/>
          <w:b/>
          <w:bCs/>
          <w:sz w:val="28"/>
          <w:szCs w:val="28"/>
          <w:highlight w:val="none"/>
        </w:rPr>
        <w:t>参</w:t>
      </w:r>
      <w:r>
        <w:rPr>
          <w:rFonts w:hint="eastAsia" w:ascii="仿宋" w:hAnsi="仿宋" w:eastAsia="仿宋" w:cstheme="minorBidi"/>
          <w:b/>
          <w:bCs/>
          <w:sz w:val="28"/>
          <w:szCs w:val="28"/>
          <w:highlight w:val="none"/>
          <w:lang w:eastAsia="zh-CN"/>
        </w:rPr>
        <w:t>选</w:t>
      </w:r>
      <w:r>
        <w:rPr>
          <w:rFonts w:hint="eastAsia" w:ascii="仿宋" w:hAnsi="仿宋" w:eastAsia="仿宋" w:cstheme="minorBidi"/>
          <w:b/>
          <w:bCs/>
          <w:sz w:val="28"/>
          <w:szCs w:val="28"/>
          <w:highlight w:val="none"/>
          <w:lang w:val="en-US" w:eastAsia="zh-CN"/>
        </w:rPr>
        <w:t>机构</w:t>
      </w:r>
      <w:r>
        <w:rPr>
          <w:rFonts w:hint="eastAsia" w:ascii="仿宋" w:hAnsi="仿宋" w:eastAsia="仿宋" w:cstheme="minorBidi"/>
          <w:b/>
          <w:bCs/>
          <w:sz w:val="28"/>
          <w:szCs w:val="28"/>
          <w:highlight w:val="none"/>
        </w:rPr>
        <w:t>应按遴选公告的规定和要求附上所有的资格证明文件，要求提供复印件的必须加盖单位印章，并在必要时提供原件备查。若提供的资格证明文件不全或不实，将导致其合作资格被取消。</w:t>
      </w:r>
    </w:p>
    <w:p>
      <w:pPr>
        <w:numPr>
          <w:ilvl w:val="0"/>
          <w:numId w:val="1"/>
        </w:num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技术服务要求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（一）服务内容</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*1.免费提供本项目所需 经皮黄疸仪及系统软件（参选机构需提供基础数量经皮黄疸仪，并根据我院业务量的增长匹配增加一定数量的经皮黄疸仪及相应系统软件）。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2.用户培训、宣教及签约服务：参选机构需对用户提供设备使用培训及宣教，并签署相关知情同意书，知情同意书内容需经院方审核。</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*3.监护对象在使用远程黄疸监测期间因设备或软件相关问题、监测数据错误、费用问题等所引发的纠纷须由参选机构完全负责处理并承担相关责任。</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*4.需保密用户的相关个人信息，不可用于非本项目其他用途。</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5.如需在院内进行宣传册、海报等宣传，相关内容需经院方审核，且放在指定地点。</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6.承诺对用户提供优质服务，并提供客服热线电话，及时响应客户的服务请求或投诉建议。</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（二）设备及软件系统功能需求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1.经皮黄疸仪设备要求：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（1）功能：采集经皮黄疸数据，并实时上传系统；</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（2）有质检报告书；</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（3）有定期计量校准，及时、定期维护；</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2.软件系统功能</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*（1）具有新生儿黄疸数据AI智能分析功能（提供软件注册证）。</w:t>
      </w:r>
    </w:p>
    <w:p>
      <w:pPr>
        <w:pStyle w:val="2"/>
        <w:ind w:firstLine="560" w:firstLineChars="200"/>
        <w:rPr>
          <w:rFonts w:hint="default"/>
          <w:lang w:val="en-US" w:eastAsia="zh-CN"/>
        </w:rPr>
      </w:pPr>
      <w:r>
        <w:rPr>
          <w:rFonts w:hint="eastAsia" w:ascii="仿宋" w:hAnsi="仿宋" w:eastAsia="仿宋"/>
          <w:sz w:val="28"/>
          <w:szCs w:val="28"/>
          <w:highlight w:val="none"/>
          <w:lang w:val="en-US" w:eastAsia="zh-CN"/>
        </w:rPr>
        <w:t>*（2）24 小时符合资质要求的人工线上判读服务（提供互联网医院相关资质）。</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（3）具有异常监护报告自动告知功能：系统能够将异常监护报告自动告知到家长手机中。</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*（4）具有异常监护提示功能：如有异常监护，系统会自动通过短信提示或公司方工作人员会电话进行干预提醒。</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（5）软件系统患者端：提供测量数据查看功能及由测量数据记录向医生发起问医的功能，提供查看问医信息和医生回复信息功能。</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（6）软件系统医生端：通过院方医生手机APP可以查看新生儿的监护信息及曲线，并具有监护诊断结果回复功能</w:t>
      </w:r>
    </w:p>
    <w:p>
      <w:pPr>
        <w:numPr>
          <w:ilvl w:val="0"/>
          <w:numId w:val="2"/>
        </w:num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收费模式</w:t>
      </w:r>
    </w:p>
    <w:p>
      <w:pPr>
        <w:numPr>
          <w:ilvl w:val="-1"/>
          <w:numId w:val="0"/>
        </w:numPr>
        <w:spacing w:line="360" w:lineRule="auto"/>
        <w:ind w:firstLine="840" w:firstLineChars="3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收费具有安全性及多样性，可开通银联、微信和支付宝等多种支付通道，由参选机构负责向用户收费。</w:t>
      </w:r>
    </w:p>
    <w:p>
      <w:pPr>
        <w:numPr>
          <w:ilvl w:val="-1"/>
          <w:numId w:val="0"/>
        </w:numPr>
        <w:spacing w:line="360" w:lineRule="auto"/>
        <w:ind w:firstLine="562" w:firstLineChars="200"/>
        <w:jc w:val="both"/>
        <w:rPr>
          <w:rFonts w:hint="eastAsia" w:ascii="仿宋" w:hAnsi="仿宋" w:eastAsia="仿宋"/>
          <w:sz w:val="28"/>
          <w:szCs w:val="28"/>
          <w:highlight w:val="none"/>
          <w:lang w:val="en-US" w:eastAsia="zh-CN"/>
        </w:rPr>
      </w:pPr>
      <w:r>
        <w:rPr>
          <w:rFonts w:hint="eastAsia" w:ascii="仿宋" w:hAnsi="仿宋" w:eastAsia="仿宋"/>
          <w:b/>
          <w:bCs/>
          <w:sz w:val="28"/>
          <w:szCs w:val="28"/>
          <w:highlight w:val="none"/>
        </w:rPr>
        <w:t>注：</w:t>
      </w:r>
      <w:r>
        <w:rPr>
          <w:rFonts w:hint="eastAsia" w:ascii="仿宋" w:hAnsi="仿宋" w:eastAsia="仿宋"/>
          <w:b/>
          <w:bCs/>
          <w:sz w:val="28"/>
          <w:szCs w:val="28"/>
          <w:highlight w:val="none"/>
          <w:lang w:val="en-US" w:eastAsia="zh-CN"/>
        </w:rPr>
        <w:t>以上16项</w:t>
      </w:r>
      <w:r>
        <w:rPr>
          <w:rFonts w:hint="eastAsia" w:ascii="仿宋" w:hAnsi="仿宋" w:eastAsia="仿宋"/>
          <w:b/>
          <w:bCs/>
          <w:sz w:val="28"/>
          <w:szCs w:val="28"/>
          <w:highlight w:val="none"/>
        </w:rPr>
        <w:t>均提供承诺函原件</w:t>
      </w:r>
      <w:r>
        <w:rPr>
          <w:rFonts w:hint="eastAsia" w:ascii="仿宋" w:hAnsi="仿宋" w:eastAsia="仿宋"/>
          <w:b/>
          <w:bCs/>
          <w:sz w:val="28"/>
          <w:szCs w:val="28"/>
          <w:highlight w:val="none"/>
          <w:lang w:val="en-US" w:eastAsia="zh-CN"/>
        </w:rPr>
        <w:t>或证明材料复印件</w:t>
      </w:r>
      <w:r>
        <w:rPr>
          <w:rFonts w:hint="eastAsia" w:ascii="仿宋" w:hAnsi="仿宋" w:eastAsia="仿宋"/>
          <w:b/>
          <w:bCs/>
          <w:sz w:val="28"/>
          <w:szCs w:val="28"/>
          <w:highlight w:val="none"/>
        </w:rPr>
        <w:t>并加盖鲜章。</w:t>
      </w:r>
    </w:p>
    <w:p>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四、合作期限</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项目服务期限：3年。</w:t>
      </w:r>
    </w:p>
    <w:p>
      <w:pPr>
        <w:spacing w:line="360" w:lineRule="auto"/>
        <w:ind w:firstLine="560" w:firstLineChars="200"/>
        <w:jc w:val="both"/>
        <w:rPr>
          <w:rFonts w:hint="eastAsia" w:ascii="仿宋" w:hAnsi="仿宋" w:eastAsia="仿宋"/>
          <w:sz w:val="28"/>
          <w:szCs w:val="28"/>
          <w:highlight w:val="none"/>
        </w:rPr>
        <w:sectPr>
          <w:pgSz w:w="11906" w:h="16838"/>
          <w:pgMar w:top="1440" w:right="1800" w:bottom="1440" w:left="1800" w:header="851" w:footer="992" w:gutter="0"/>
          <w:pgNumType w:fmt="decimal"/>
          <w:cols w:space="425" w:num="1"/>
          <w:docGrid w:type="lines" w:linePitch="312" w:charSpace="0"/>
        </w:sect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ascii="仿宋" w:hAnsi="仿宋" w:eastAsia="仿宋" w:cs="仿宋"/>
          <w:color w:val="000000"/>
          <w:sz w:val="28"/>
        </w:rPr>
        <w:t>至少需包括(不限于)以下内容</w:t>
      </w:r>
    </w:p>
    <w:p>
      <w:pPr>
        <w:ind w:firstLine="560" w:firstLineChars="200"/>
        <w:rPr>
          <w:rFonts w:ascii="仿宋" w:hAnsi="仿宋" w:eastAsia="仿宋" w:cs="仿宋"/>
          <w:color w:val="000000"/>
          <w:sz w:val="28"/>
        </w:rPr>
      </w:pPr>
      <w:r>
        <w:rPr>
          <w:rFonts w:hint="eastAsia" w:ascii="仿宋" w:hAnsi="仿宋" w:eastAsia="仿宋" w:cs="仿宋"/>
          <w:color w:val="000000"/>
          <w:sz w:val="28"/>
        </w:rPr>
        <w:t>1.</w:t>
      </w:r>
      <w:r>
        <w:rPr>
          <w:rFonts w:ascii="仿宋" w:hAnsi="仿宋" w:eastAsia="仿宋" w:cs="仿宋"/>
          <w:color w:val="000000"/>
          <w:sz w:val="28"/>
        </w:rPr>
        <w:t>满足医院合作模式,提供完整运行流程</w:t>
      </w:r>
      <w:r>
        <w:rPr>
          <w:rFonts w:hint="eastAsia" w:ascii="仿宋" w:hAnsi="仿宋" w:eastAsia="仿宋" w:cs="仿宋"/>
          <w:color w:val="000000"/>
          <w:sz w:val="28"/>
          <w:lang w:eastAsia="zh-CN"/>
        </w:rPr>
        <w:t>及</w:t>
      </w:r>
      <w:r>
        <w:rPr>
          <w:rFonts w:ascii="仿宋" w:hAnsi="仿宋" w:eastAsia="仿宋" w:cs="仿宋"/>
          <w:color w:val="000000"/>
          <w:sz w:val="28"/>
        </w:rPr>
        <w:t>质量控制流程。</w:t>
      </w:r>
    </w:p>
    <w:p>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2.</w:t>
      </w:r>
      <w:r>
        <w:rPr>
          <w:rFonts w:hint="eastAsia" w:ascii="仿宋" w:hAnsi="仿宋" w:eastAsia="仿宋" w:cs="仿宋"/>
          <w:color w:val="000000"/>
          <w:sz w:val="28"/>
        </w:rPr>
        <w:t>产品效果图等</w:t>
      </w:r>
      <w:r>
        <w:rPr>
          <w:rFonts w:hint="eastAsia" w:ascii="仿宋" w:hAnsi="仿宋" w:eastAsia="仿宋" w:cs="仿宋"/>
          <w:color w:val="000000"/>
          <w:sz w:val="28"/>
          <w:lang w:eastAsia="zh-CN"/>
        </w:rPr>
        <w:t>。</w:t>
      </w:r>
    </w:p>
    <w:p>
      <w:pPr>
        <w:ind w:firstLine="560" w:firstLineChars="200"/>
        <w:rPr>
          <w:rFonts w:ascii="仿宋" w:hAnsi="仿宋" w:eastAsia="仿宋" w:cs="仿宋"/>
          <w:color w:val="000000"/>
          <w:sz w:val="28"/>
        </w:rPr>
      </w:pPr>
      <w:r>
        <w:rPr>
          <w:rFonts w:hint="eastAsia" w:ascii="仿宋" w:hAnsi="仿宋" w:eastAsia="仿宋" w:cs="仿宋"/>
          <w:color w:val="000000"/>
          <w:sz w:val="28"/>
          <w:lang w:val="en-US" w:eastAsia="zh-CN"/>
        </w:rPr>
        <w:t>3</w:t>
      </w:r>
      <w:r>
        <w:rPr>
          <w:rFonts w:hint="eastAsia" w:ascii="仿宋" w:hAnsi="仿宋" w:eastAsia="仿宋" w:cs="仿宋"/>
          <w:color w:val="000000"/>
          <w:sz w:val="28"/>
        </w:rPr>
        <w:t>.</w:t>
      </w:r>
      <w:r>
        <w:rPr>
          <w:rFonts w:ascii="仿宋" w:hAnsi="仿宋" w:eastAsia="仿宋" w:cs="仿宋"/>
          <w:color w:val="000000"/>
          <w:sz w:val="28"/>
        </w:rPr>
        <w:t>业绩展示。</w:t>
      </w:r>
    </w:p>
    <w:p>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4.</w:t>
      </w:r>
      <w:r>
        <w:rPr>
          <w:rFonts w:ascii="仿宋" w:hAnsi="仿宋" w:eastAsia="仿宋" w:cs="仿宋"/>
          <w:color w:val="000000"/>
          <w:sz w:val="28"/>
        </w:rPr>
        <w:t>应急保障措施</w:t>
      </w:r>
      <w:r>
        <w:rPr>
          <w:rFonts w:hint="eastAsia" w:ascii="仿宋" w:hAnsi="仿宋" w:eastAsia="仿宋" w:cs="仿宋"/>
          <w:color w:val="000000"/>
          <w:sz w:val="28"/>
        </w:rPr>
        <w:t>。</w:t>
      </w:r>
    </w:p>
    <w:p>
      <w:pPr>
        <w:ind w:firstLine="560" w:firstLineChars="200"/>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5.</w:t>
      </w:r>
      <w:r>
        <w:rPr>
          <w:rFonts w:hint="eastAsia" w:ascii="仿宋" w:hAnsi="仿宋" w:eastAsia="仿宋" w:cs="仿宋"/>
          <w:color w:val="000000"/>
          <w:sz w:val="28"/>
        </w:rPr>
        <w:t>售后服务方案</w:t>
      </w:r>
      <w:r>
        <w:rPr>
          <w:rFonts w:hint="eastAsia" w:ascii="仿宋" w:hAnsi="仿宋" w:eastAsia="仿宋" w:cs="仿宋"/>
          <w:color w:val="000000"/>
          <w:sz w:val="28"/>
          <w:lang w:eastAsia="zh-CN"/>
        </w:rPr>
        <w:t>，</w:t>
      </w:r>
      <w:r>
        <w:rPr>
          <w:rFonts w:hint="eastAsia" w:ascii="仿宋" w:hAnsi="仿宋" w:eastAsia="仿宋" w:cs="仿宋"/>
          <w:color w:val="000000"/>
          <w:sz w:val="28"/>
        </w:rPr>
        <w:t>包含售后服务承诺</w:t>
      </w:r>
      <w:r>
        <w:rPr>
          <w:rFonts w:hint="default" w:ascii="仿宋" w:hAnsi="仿宋" w:eastAsia="仿宋" w:cs="仿宋"/>
          <w:color w:val="000000"/>
          <w:sz w:val="28"/>
        </w:rPr>
        <w:t>、售后服务响应时间、投诉处理方案</w:t>
      </w:r>
      <w:r>
        <w:rPr>
          <w:rFonts w:hint="eastAsia" w:ascii="仿宋" w:hAnsi="仿宋" w:eastAsia="仿宋" w:cs="仿宋"/>
          <w:color w:val="000000"/>
          <w:sz w:val="28"/>
          <w:lang w:eastAsia="zh-CN"/>
        </w:rPr>
        <w:t>等。</w:t>
      </w:r>
    </w:p>
    <w:p>
      <w:pPr>
        <w:ind w:firstLine="560" w:firstLineChars="200"/>
        <w:rPr>
          <w:rFonts w:ascii="仿宋" w:hAnsi="仿宋" w:eastAsia="仿宋" w:cs="仿宋"/>
          <w:color w:val="000000"/>
          <w:sz w:val="28"/>
        </w:rPr>
      </w:pPr>
    </w:p>
    <w:p>
      <w:pPr>
        <w:ind w:firstLine="560" w:firstLineChars="200"/>
        <w:rPr>
          <w:rFonts w:ascii="仿宋" w:hAnsi="仿宋" w:eastAsia="仿宋" w:cs="仿宋"/>
          <w:color w:val="000000"/>
          <w:sz w:val="28"/>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ind w:left="0" w:leftChars="0" w:firstLine="0" w:firstLineChars="0"/>
      </w:pPr>
    </w:p>
    <w:p>
      <w:pPr>
        <w:pStyle w:val="5"/>
        <w:ind w:left="0" w:leftChars="0" w:firstLine="0" w:firstLineChars="0"/>
      </w:pPr>
    </w:p>
    <w:p>
      <w:pPr>
        <w:pStyle w:val="5"/>
        <w:ind w:left="0" w:leftChars="0" w:firstLine="0" w:firstLineChars="0"/>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adjustRightInd w:val="0"/>
        <w:snapToGrid w:val="0"/>
        <w:spacing w:line="480" w:lineRule="auto"/>
        <w:ind w:firstLine="3219" w:firstLineChars="1002"/>
        <w:rPr>
          <w:rFonts w:hint="eastAsia" w:ascii="仿宋" w:hAnsi="仿宋" w:eastAsia="仿宋" w:cstheme="minorBidi"/>
          <w:b/>
          <w:spacing w:val="0"/>
          <w:sz w:val="32"/>
          <w:szCs w:val="28"/>
          <w:lang w:eastAsia="zh-CN"/>
        </w:rPr>
      </w:pPr>
      <w:r>
        <w:rPr>
          <w:rFonts w:hint="eastAsia" w:ascii="仿宋" w:hAnsi="仿宋" w:eastAsia="仿宋" w:cstheme="minorBidi"/>
          <w:b/>
          <w:spacing w:val="0"/>
          <w:sz w:val="32"/>
          <w:szCs w:val="28"/>
          <w:lang w:eastAsia="zh-CN"/>
        </w:rPr>
        <w:t>报价表</w:t>
      </w:r>
    </w:p>
    <w:p>
      <w:pPr>
        <w:pStyle w:val="24"/>
        <w:jc w:val="lef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lang w:eastAsia="zh-CN"/>
        </w:rPr>
        <w:t>参选机构向医院缴纳费用</w:t>
      </w:r>
    </w:p>
    <w:tbl>
      <w:tblPr>
        <w:tblStyle w:val="18"/>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3097"/>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4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项目</w:t>
            </w:r>
          </w:p>
        </w:tc>
        <w:tc>
          <w:tcPr>
            <w:tcW w:w="3097"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价格</w:t>
            </w:r>
          </w:p>
        </w:tc>
        <w:tc>
          <w:tcPr>
            <w:tcW w:w="310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040" w:type="dxa"/>
            <w:noWrap w:val="0"/>
            <w:vAlign w:val="center"/>
          </w:tcPr>
          <w:p>
            <w:pPr>
              <w:pStyle w:val="24"/>
              <w:ind w:firstLine="0" w:firstLineChars="0"/>
              <w:jc w:val="center"/>
              <w:rPr>
                <w:rFonts w:ascii="仿宋" w:hAnsi="仿宋" w:eastAsia="仿宋"/>
                <w:sz w:val="24"/>
                <w:szCs w:val="24"/>
              </w:rPr>
            </w:pPr>
            <w:r>
              <w:rPr>
                <w:rFonts w:hint="eastAsia" w:ascii="仿宋" w:hAnsi="仿宋" w:eastAsia="仿宋"/>
                <w:sz w:val="24"/>
                <w:szCs w:val="24"/>
              </w:rPr>
              <w:t>医院综合管理费</w:t>
            </w:r>
          </w:p>
        </w:tc>
        <w:tc>
          <w:tcPr>
            <w:tcW w:w="3097" w:type="dxa"/>
            <w:noWrap w:val="0"/>
            <w:vAlign w:val="center"/>
          </w:tcPr>
          <w:p>
            <w:pPr>
              <w:pStyle w:val="24"/>
              <w:ind w:firstLine="0" w:firstLineChars="0"/>
              <w:jc w:val="center"/>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（元/年）</w:t>
            </w:r>
          </w:p>
        </w:tc>
        <w:tc>
          <w:tcPr>
            <w:tcW w:w="3100" w:type="dxa"/>
            <w:noWrap w:val="0"/>
            <w:vAlign w:val="center"/>
          </w:tcPr>
          <w:p>
            <w:pPr>
              <w:pStyle w:val="24"/>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040"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技术指导费</w:t>
            </w:r>
          </w:p>
        </w:tc>
        <w:tc>
          <w:tcPr>
            <w:tcW w:w="3097"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（%/月）</w:t>
            </w:r>
          </w:p>
        </w:tc>
        <w:tc>
          <w:tcPr>
            <w:tcW w:w="3100"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eastAsia="zh-CN"/>
              </w:rPr>
              <w:t>参选机构</w:t>
            </w:r>
            <w:r>
              <w:rPr>
                <w:rFonts w:hint="eastAsia" w:ascii="仿宋" w:hAnsi="仿宋" w:eastAsia="仿宋"/>
                <w:sz w:val="24"/>
                <w:szCs w:val="24"/>
              </w:rPr>
              <w:t>每月总收入的百分比</w:t>
            </w:r>
          </w:p>
        </w:tc>
      </w:tr>
    </w:tbl>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r>
        <w:rPr>
          <w:rFonts w:hint="eastAsia" w:ascii="仿宋" w:hAnsi="仿宋" w:eastAsia="仿宋"/>
          <w:sz w:val="24"/>
          <w:szCs w:val="24"/>
          <w:lang w:val="en-US" w:eastAsia="zh-CN"/>
        </w:rPr>
        <w:t>2.参选机构向用户收取费用</w:t>
      </w:r>
    </w:p>
    <w:tbl>
      <w:tblPr>
        <w:tblStyle w:val="17"/>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3097"/>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4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项目</w:t>
            </w:r>
          </w:p>
        </w:tc>
        <w:tc>
          <w:tcPr>
            <w:tcW w:w="3097"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价格</w:t>
            </w:r>
          </w:p>
        </w:tc>
        <w:tc>
          <w:tcPr>
            <w:tcW w:w="310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040"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项目服务费</w:t>
            </w:r>
          </w:p>
        </w:tc>
        <w:tc>
          <w:tcPr>
            <w:tcW w:w="3097"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（元/</w:t>
            </w:r>
            <w:r>
              <w:rPr>
                <w:rFonts w:hint="eastAsia" w:ascii="仿宋" w:hAnsi="仿宋" w:eastAsia="仿宋"/>
                <w:sz w:val="24"/>
                <w:szCs w:val="24"/>
                <w:lang w:eastAsia="zh-CN"/>
              </w:rPr>
              <w:t>天</w:t>
            </w:r>
            <w:r>
              <w:rPr>
                <w:rFonts w:hint="eastAsia" w:ascii="仿宋" w:hAnsi="仿宋" w:eastAsia="仿宋"/>
                <w:sz w:val="24"/>
                <w:szCs w:val="24"/>
              </w:rPr>
              <w:t>）</w:t>
            </w:r>
          </w:p>
        </w:tc>
        <w:tc>
          <w:tcPr>
            <w:tcW w:w="3100" w:type="dxa"/>
            <w:noWrap w:val="0"/>
            <w:vAlign w:val="center"/>
          </w:tcPr>
          <w:p>
            <w:pPr>
              <w:pStyle w:val="24"/>
              <w:ind w:firstLine="0" w:firstLineChars="0"/>
              <w:jc w:val="center"/>
              <w:rPr>
                <w:rFonts w:hint="eastAsia" w:ascii="仿宋" w:hAnsi="仿宋" w:eastAsia="仿宋"/>
                <w:sz w:val="24"/>
                <w:szCs w:val="24"/>
              </w:rPr>
            </w:pPr>
          </w:p>
        </w:tc>
      </w:tr>
    </w:tbl>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r>
        <w:rPr>
          <w:rFonts w:hint="eastAsia" w:ascii="仿宋" w:hAnsi="仿宋" w:eastAsia="仿宋" w:cs="Times New Roman"/>
          <w:sz w:val="24"/>
          <w:szCs w:val="32"/>
          <w:lang w:eastAsia="zh-CN"/>
        </w:rPr>
        <w:t>备注：①</w:t>
      </w:r>
      <w:r>
        <w:rPr>
          <w:rFonts w:hint="eastAsia" w:ascii="仿宋" w:hAnsi="仿宋" w:eastAsia="仿宋" w:cs="Times New Roman"/>
          <w:sz w:val="24"/>
          <w:szCs w:val="32"/>
        </w:rPr>
        <w:t>医院综合管理费、技术指导费(此处报价为医院实际所得费用)</w:t>
      </w:r>
      <w:r>
        <w:rPr>
          <w:rFonts w:hint="eastAsia" w:ascii="仿宋" w:hAnsi="仿宋" w:eastAsia="仿宋" w:cs="Times New Roman"/>
          <w:sz w:val="24"/>
          <w:szCs w:val="32"/>
          <w:lang w:eastAsia="zh-CN"/>
        </w:rPr>
        <w:t>。</w:t>
      </w:r>
    </w:p>
    <w:p>
      <w:pPr>
        <w:ind w:firstLine="720" w:firstLineChars="300"/>
        <w:rPr>
          <w:rFonts w:hint="eastAsia" w:ascii="仿宋" w:hAnsi="仿宋" w:eastAsia="仿宋" w:cs="Times New Roman"/>
          <w:sz w:val="24"/>
          <w:szCs w:val="32"/>
        </w:rPr>
      </w:pPr>
      <w:r>
        <w:rPr>
          <w:rFonts w:hint="eastAsia" w:ascii="仿宋" w:hAnsi="仿宋" w:eastAsia="仿宋" w:cs="Times New Roman"/>
          <w:sz w:val="24"/>
          <w:szCs w:val="32"/>
          <w:lang w:eastAsia="zh-CN"/>
        </w:rPr>
        <w:t>②</w:t>
      </w:r>
      <w:r>
        <w:rPr>
          <w:rFonts w:hint="eastAsia" w:ascii="仿宋" w:hAnsi="仿宋" w:eastAsia="仿宋" w:cs="Times New Roman"/>
          <w:sz w:val="24"/>
          <w:szCs w:val="32"/>
          <w:lang w:val="en-US" w:eastAsia="zh-CN"/>
        </w:rPr>
        <w:t>项目服务费</w:t>
      </w:r>
      <w:r>
        <w:rPr>
          <w:rFonts w:hint="eastAsia" w:ascii="仿宋" w:hAnsi="仿宋" w:eastAsia="仿宋" w:cs="Times New Roman"/>
          <w:sz w:val="24"/>
          <w:szCs w:val="32"/>
        </w:rPr>
        <w:t>由</w:t>
      </w:r>
      <w:r>
        <w:rPr>
          <w:rFonts w:hint="eastAsia" w:ascii="仿宋" w:hAnsi="仿宋" w:eastAsia="仿宋" w:cs="Times New Roman"/>
          <w:sz w:val="24"/>
          <w:szCs w:val="32"/>
          <w:lang w:eastAsia="zh-CN"/>
        </w:rPr>
        <w:t>参选机构</w:t>
      </w:r>
      <w:r>
        <w:rPr>
          <w:rFonts w:hint="eastAsia" w:ascii="仿宋" w:hAnsi="仿宋" w:eastAsia="仿宋" w:cs="Times New Roman"/>
          <w:sz w:val="24"/>
          <w:szCs w:val="32"/>
        </w:rPr>
        <w:t>与</w:t>
      </w:r>
      <w:r>
        <w:rPr>
          <w:rFonts w:hint="eastAsia" w:ascii="仿宋" w:hAnsi="仿宋" w:eastAsia="仿宋" w:cs="Times New Roman"/>
          <w:sz w:val="24"/>
          <w:szCs w:val="32"/>
          <w:lang w:eastAsia="zh-CN"/>
        </w:rPr>
        <w:t>用户</w:t>
      </w:r>
      <w:r>
        <w:rPr>
          <w:rFonts w:hint="eastAsia" w:ascii="仿宋" w:hAnsi="仿宋" w:eastAsia="仿宋" w:cs="Times New Roman"/>
          <w:sz w:val="24"/>
          <w:szCs w:val="32"/>
        </w:rPr>
        <w:t>签订相关协议并收取，医院不参与收费过程。</w:t>
      </w:r>
    </w:p>
    <w:p>
      <w:pPr>
        <w:pStyle w:val="2"/>
        <w:keepNext w:val="0"/>
        <w:keepLines w:val="0"/>
        <w:pageBreakBefore w:val="0"/>
        <w:widowControl w:val="0"/>
        <w:kinsoku/>
        <w:wordWrap/>
        <w:overflowPunct/>
        <w:topLinePunct w:val="0"/>
        <w:autoSpaceDE/>
        <w:autoSpaceDN/>
        <w:bidi w:val="0"/>
        <w:adjustRightInd/>
        <w:snapToGrid/>
        <w:spacing w:after="0"/>
        <w:ind w:firstLine="720" w:firstLineChars="30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sz w:val="24"/>
          <w:szCs w:val="32"/>
          <w:highlight w:val="none"/>
          <w:lang w:eastAsia="zh-CN"/>
        </w:rPr>
        <w:t>③</w:t>
      </w:r>
      <w:r>
        <w:rPr>
          <w:rFonts w:hint="eastAsia" w:ascii="仿宋" w:hAnsi="仿宋" w:eastAsia="仿宋" w:cs="仿宋"/>
          <w:color w:val="auto"/>
          <w:spacing w:val="-6"/>
          <w:sz w:val="24"/>
          <w:szCs w:val="21"/>
          <w:highlight w:val="none"/>
          <w:vertAlign w:val="baseline"/>
          <w:lang w:val="en-US" w:eastAsia="zh-CN"/>
        </w:rPr>
        <w:t>“报价表”为多页的，每页均需由法定代表人或授权代表签字并盖参选机构鲜章。</w:t>
      </w:r>
    </w:p>
    <w:p>
      <w:pPr>
        <w:ind w:firstLine="720" w:firstLineChars="300"/>
        <w:rPr>
          <w:rFonts w:hint="eastAsia" w:ascii="仿宋" w:hAnsi="仿宋" w:eastAsia="仿宋"/>
          <w:sz w:val="24"/>
          <w:szCs w:val="32"/>
          <w:highlight w:val="none"/>
          <w:lang w:eastAsia="zh-CN"/>
        </w:rPr>
      </w:pPr>
      <w:r>
        <w:rPr>
          <w:rFonts w:hint="eastAsia" w:ascii="仿宋" w:hAnsi="仿宋" w:eastAsia="仿宋"/>
          <w:sz w:val="24"/>
          <w:szCs w:val="32"/>
          <w:highlight w:val="none"/>
          <w:lang w:eastAsia="zh-CN"/>
        </w:rPr>
        <w:t>④</w:t>
      </w:r>
      <w:r>
        <w:rPr>
          <w:rFonts w:hint="eastAsia" w:ascii="仿宋" w:hAnsi="仿宋" w:eastAsia="仿宋"/>
          <w:sz w:val="24"/>
          <w:szCs w:val="32"/>
          <w:highlight w:val="none"/>
        </w:rPr>
        <w:t>报价是</w:t>
      </w:r>
      <w:r>
        <w:rPr>
          <w:rFonts w:hint="eastAsia" w:ascii="仿宋" w:hAnsi="仿宋" w:eastAsia="仿宋" w:cs="Times New Roman"/>
          <w:sz w:val="24"/>
          <w:szCs w:val="32"/>
          <w:highlight w:val="none"/>
          <w:lang w:eastAsia="zh-CN"/>
        </w:rPr>
        <w:t>参选机构</w:t>
      </w:r>
      <w:r>
        <w:rPr>
          <w:rFonts w:hint="eastAsia" w:ascii="仿宋" w:hAnsi="仿宋" w:eastAsia="仿宋"/>
          <w:sz w:val="24"/>
          <w:szCs w:val="32"/>
          <w:highlight w:val="none"/>
        </w:rPr>
        <w:t>完成本项目全部工作内容的费用，包括完成本项目所涉及的人工劳务、设备投入、材料、知识产权、利润、风险、税金等一切费用。</w:t>
      </w:r>
    </w:p>
    <w:p>
      <w:pPr>
        <w:pStyle w:val="5"/>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4</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5.偏离表响应内容承诺函或证明材料（按附件1</w:t>
      </w:r>
      <w:r>
        <w:rPr>
          <w:rFonts w:hint="eastAsia" w:ascii="仿宋" w:hAnsi="仿宋" w:eastAsia="仿宋"/>
          <w:color w:val="000000" w:themeColor="text1"/>
          <w:sz w:val="28"/>
          <w:szCs w:val="28"/>
          <w:lang w:val="en-US" w:eastAsia="zh-CN"/>
          <w14:textFill>
            <w14:solidFill>
              <w14:schemeClr w14:val="tx1"/>
            </w14:solidFill>
          </w14:textFill>
        </w:rPr>
        <w:t xml:space="preserve"> 三、</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rPr>
        <w:t>.封底</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ind w:firstLine="560" w:firstLineChars="200"/>
        <w:rPr>
          <w:rFonts w:hint="eastAsia" w:ascii="仿宋" w:hAnsi="仿宋" w:eastAsia="仿宋"/>
          <w:sz w:val="28"/>
          <w:szCs w:val="28"/>
        </w:rPr>
      </w:pPr>
    </w:p>
    <w:p>
      <w:pPr>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5</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偏离表</w:t>
      </w:r>
    </w:p>
    <w:tbl>
      <w:tblPr>
        <w:tblStyle w:val="1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三、技术服务要求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反商业贿赂承诺书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六、遴选项目名称：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无围标、串标行为承诺书</w:t>
      </w:r>
    </w:p>
    <w:p>
      <w:pPr>
        <w:ind w:firstLine="560" w:firstLineChars="200"/>
        <w:rPr>
          <w:rFonts w:ascii="仿宋" w:hAnsi="仿宋" w:eastAsia="仿宋"/>
          <w:sz w:val="28"/>
          <w:szCs w:val="28"/>
        </w:rPr>
      </w:pPr>
      <w:r>
        <w:rPr>
          <w:rFonts w:hint="eastAsia" w:ascii="仿宋" w:hAnsi="仿宋" w:eastAsia="仿宋"/>
          <w:sz w:val="28"/>
          <w:szCs w:val="28"/>
        </w:rPr>
        <w:t>本公司郑重承诺：我公司自觉遵守《中华人民共和国政府采购法》和《中华人民共和国政府采购法实施条例》的有关规定，我公司在参加本次项目（项目名称：XXXXXXX）遴选活动中，无以下围标、串标行为：</w:t>
      </w:r>
    </w:p>
    <w:p>
      <w:pPr>
        <w:ind w:firstLine="560" w:firstLineChars="200"/>
        <w:rPr>
          <w:rFonts w:ascii="仿宋" w:hAnsi="仿宋" w:eastAsia="仿宋"/>
          <w:sz w:val="28"/>
          <w:szCs w:val="28"/>
        </w:rPr>
      </w:pPr>
      <w:r>
        <w:rPr>
          <w:rFonts w:hint="eastAsia" w:ascii="仿宋" w:hAnsi="仿宋" w:eastAsia="仿宋"/>
          <w:sz w:val="28"/>
          <w:szCs w:val="28"/>
        </w:rPr>
        <w:t>1.不同参选机构的参选文件由同一单位或者个人编制；</w:t>
      </w:r>
    </w:p>
    <w:p>
      <w:pPr>
        <w:ind w:firstLine="560" w:firstLineChars="200"/>
        <w:rPr>
          <w:rFonts w:ascii="仿宋" w:hAnsi="仿宋" w:eastAsia="仿宋"/>
          <w:sz w:val="28"/>
          <w:szCs w:val="28"/>
        </w:rPr>
      </w:pPr>
      <w:r>
        <w:rPr>
          <w:rFonts w:hint="eastAsia" w:ascii="仿宋" w:hAnsi="仿宋" w:eastAsia="仿宋"/>
          <w:sz w:val="28"/>
          <w:szCs w:val="28"/>
        </w:rPr>
        <w:t>2.不同参选机构委托同一单位或者个人办理遴选事宜；</w:t>
      </w:r>
    </w:p>
    <w:p>
      <w:pPr>
        <w:ind w:firstLine="560" w:firstLineChars="200"/>
        <w:rPr>
          <w:rFonts w:ascii="仿宋" w:hAnsi="仿宋" w:eastAsia="仿宋"/>
          <w:sz w:val="28"/>
          <w:szCs w:val="28"/>
        </w:rPr>
      </w:pPr>
      <w:r>
        <w:rPr>
          <w:rFonts w:hint="eastAsia" w:ascii="仿宋" w:hAnsi="仿宋" w:eastAsia="仿宋"/>
          <w:sz w:val="28"/>
          <w:szCs w:val="28"/>
        </w:rPr>
        <w:t>3.不同参选机构的参选文件载明的项目管理成员或者联系人员为同一人；</w:t>
      </w:r>
    </w:p>
    <w:p>
      <w:pPr>
        <w:ind w:firstLine="560" w:firstLineChars="200"/>
        <w:rPr>
          <w:rFonts w:ascii="仿宋" w:hAnsi="仿宋" w:eastAsia="仿宋"/>
          <w:sz w:val="28"/>
          <w:szCs w:val="28"/>
        </w:rPr>
      </w:pPr>
      <w:r>
        <w:rPr>
          <w:rFonts w:hint="eastAsia" w:ascii="仿宋" w:hAnsi="仿宋" w:eastAsia="仿宋"/>
          <w:sz w:val="28"/>
          <w:szCs w:val="28"/>
        </w:rPr>
        <w:t>4.不同参选机构的参选文件异常一致或者投标报价呈规律性差异；</w:t>
      </w:r>
    </w:p>
    <w:p>
      <w:pPr>
        <w:ind w:firstLine="560" w:firstLineChars="200"/>
        <w:rPr>
          <w:rFonts w:ascii="仿宋" w:hAnsi="仿宋" w:eastAsia="仿宋"/>
          <w:sz w:val="28"/>
          <w:szCs w:val="28"/>
        </w:rPr>
      </w:pPr>
      <w:r>
        <w:rPr>
          <w:rFonts w:hint="eastAsia" w:ascii="仿宋" w:hAnsi="仿宋" w:eastAsia="仿宋"/>
          <w:sz w:val="28"/>
          <w:szCs w:val="28"/>
        </w:rPr>
        <w:t>5.不同参选机构的参选文件相互混装；</w:t>
      </w:r>
    </w:p>
    <w:p>
      <w:pPr>
        <w:ind w:firstLine="560" w:firstLineChars="200"/>
        <w:rPr>
          <w:rFonts w:ascii="仿宋" w:hAnsi="仿宋" w:eastAsia="仿宋"/>
          <w:sz w:val="28"/>
          <w:szCs w:val="28"/>
        </w:rPr>
      </w:pPr>
      <w:r>
        <w:rPr>
          <w:rFonts w:hint="eastAsia" w:ascii="仿宋" w:hAnsi="仿宋" w:eastAsia="仿宋"/>
          <w:sz w:val="28"/>
          <w:szCs w:val="28"/>
        </w:rPr>
        <w:t>6.不同参选机构的投标保证金从同一单位或者个人的账户转出；</w:t>
      </w:r>
    </w:p>
    <w:p>
      <w:pPr>
        <w:ind w:firstLine="560" w:firstLineChars="200"/>
        <w:rPr>
          <w:rFonts w:ascii="仿宋" w:hAnsi="仿宋" w:eastAsia="仿宋"/>
          <w:sz w:val="28"/>
          <w:szCs w:val="28"/>
        </w:rPr>
      </w:pPr>
      <w:r>
        <w:rPr>
          <w:rFonts w:hint="eastAsia" w:ascii="仿宋" w:hAnsi="仿宋" w:eastAsia="仿宋"/>
          <w:sz w:val="28"/>
          <w:szCs w:val="28"/>
        </w:rPr>
        <w:t>7.不同参选机构的董事、监事、高管、单位负责人为同一人或者存在控股、管理关系的不同单位参加同一遴选项目；</w:t>
      </w:r>
    </w:p>
    <w:p>
      <w:pPr>
        <w:ind w:firstLine="560" w:firstLineChars="200"/>
        <w:rPr>
          <w:rFonts w:ascii="仿宋" w:hAnsi="仿宋" w:eastAsia="仿宋"/>
          <w:sz w:val="28"/>
          <w:szCs w:val="28"/>
        </w:rPr>
      </w:pPr>
      <w:r>
        <w:rPr>
          <w:rFonts w:hint="eastAsia" w:ascii="仿宋" w:hAnsi="仿宋" w:eastAsia="仿宋"/>
          <w:sz w:val="28"/>
          <w:szCs w:val="28"/>
        </w:rPr>
        <w:t>8.参选机构之间事先约定由某一特定机构中标、成交；</w:t>
      </w:r>
    </w:p>
    <w:p>
      <w:pPr>
        <w:ind w:firstLine="560" w:firstLineChars="200"/>
        <w:rPr>
          <w:rFonts w:ascii="仿宋" w:hAnsi="仿宋" w:eastAsia="仿宋"/>
          <w:sz w:val="28"/>
          <w:szCs w:val="28"/>
        </w:rPr>
      </w:pPr>
      <w:r>
        <w:rPr>
          <w:rFonts w:hint="eastAsia" w:ascii="仿宋" w:hAnsi="仿宋" w:eastAsia="仿宋"/>
          <w:sz w:val="28"/>
          <w:szCs w:val="28"/>
        </w:rPr>
        <w:t>9.参选机构之间商定部分机构放弃参加遴选活动或者放弃中标、成交；</w:t>
      </w:r>
    </w:p>
    <w:p>
      <w:pPr>
        <w:ind w:firstLine="560" w:firstLineChars="200"/>
        <w:rPr>
          <w:rFonts w:ascii="仿宋" w:hAnsi="仿宋" w:eastAsia="仿宋"/>
          <w:sz w:val="28"/>
          <w:szCs w:val="28"/>
        </w:rPr>
      </w:pPr>
      <w:r>
        <w:rPr>
          <w:rFonts w:hint="eastAsia" w:ascii="仿宋" w:hAnsi="仿宋" w:eastAsia="仿宋"/>
          <w:sz w:val="28"/>
          <w:szCs w:val="28"/>
        </w:rPr>
        <w:t>10.法律法规界定的其他围标串标行为。</w:t>
      </w:r>
    </w:p>
    <w:p>
      <w:pPr>
        <w:ind w:firstLine="560" w:firstLineChars="200"/>
        <w:rPr>
          <w:rFonts w:ascii="仿宋" w:hAnsi="仿宋" w:eastAsia="仿宋"/>
          <w:sz w:val="28"/>
          <w:szCs w:val="28"/>
        </w:rPr>
      </w:pPr>
      <w:r>
        <w:rPr>
          <w:rFonts w:hint="eastAsia" w:ascii="仿宋" w:hAnsi="仿宋" w:eastAsia="仿宋"/>
          <w:sz w:val="28"/>
          <w:szCs w:val="28"/>
        </w:rPr>
        <w:t>我公司承诺在本项目遴选活动中，与遴选人不存在关联关系，与其他投标单位不存在关联关系。如被查实在本项目遴选活动中存在围标、串标的，本公司将承担法律责任，接受相应的法律法规处罚。</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投标人法人代表或委托代理人（承诺人） ：</w:t>
      </w:r>
    </w:p>
    <w:p>
      <w:pPr>
        <w:ind w:firstLine="560" w:firstLineChars="200"/>
        <w:rPr>
          <w:rFonts w:ascii="仿宋" w:hAnsi="仿宋" w:eastAsia="仿宋"/>
          <w:sz w:val="28"/>
          <w:szCs w:val="28"/>
        </w:rPr>
      </w:pPr>
      <w:r>
        <w:rPr>
          <w:rFonts w:hint="eastAsia" w:ascii="仿宋" w:hAnsi="仿宋" w:eastAsia="仿宋"/>
          <w:sz w:val="28"/>
          <w:szCs w:val="28"/>
        </w:rPr>
        <w:t xml:space="preserve">投标人：（公章）  </w:t>
      </w:r>
    </w:p>
    <w:p>
      <w:pPr>
        <w:ind w:firstLine="560" w:firstLineChars="200"/>
        <w:rPr>
          <w:rFonts w:hint="eastAsia"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rPr>
        <w:t>日期：   年    月    日</w:t>
      </w:r>
    </w:p>
    <w:p>
      <w:pPr>
        <w:adjustRightInd w:val="0"/>
        <w:snapToGrid w:val="0"/>
        <w:spacing w:line="480" w:lineRule="auto"/>
        <w:jc w:val="both"/>
        <w:outlineLvl w:val="0"/>
        <w:rPr>
          <w:rFonts w:hint="eastAsia" w:ascii="仿宋" w:hAnsi="仿宋" w:eastAsia="仿宋"/>
          <w:b/>
          <w:sz w:val="32"/>
          <w:szCs w:val="28"/>
        </w:rPr>
      </w:pPr>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sz w:val="32"/>
          <w:szCs w:val="28"/>
        </w:rPr>
        <w:t>评审办法（综合评分明细表）</w:t>
      </w:r>
    </w:p>
    <w:tbl>
      <w:tblPr>
        <w:tblStyle w:val="17"/>
        <w:tblW w:w="9187"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1233"/>
        <w:gridCol w:w="1081"/>
        <w:gridCol w:w="3447"/>
        <w:gridCol w:w="993"/>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83"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33"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评分因素及权重</w:t>
            </w:r>
          </w:p>
        </w:tc>
        <w:tc>
          <w:tcPr>
            <w:tcW w:w="1081"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分值</w:t>
            </w:r>
          </w:p>
        </w:tc>
        <w:tc>
          <w:tcPr>
            <w:tcW w:w="3447"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评分标准</w:t>
            </w:r>
          </w:p>
        </w:tc>
        <w:tc>
          <w:tcPr>
            <w:tcW w:w="993"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得分</w:t>
            </w:r>
          </w:p>
        </w:tc>
        <w:tc>
          <w:tcPr>
            <w:tcW w:w="1550"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价格（30%）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1.医院综合管理费：价格最高的投标报价为评标基准价，其价格为满分。其他投标人的价格分统一按照下列公式计算：投标报价得分=（投标报价/评标基准价）×12。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评分的取值按四舍五入法，保留小数点后两位。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2.技术指导费：报价比例最高的投标报价为评标基准价，其价格为满分。其他投标人的价格分统一按照下列公式计算：投标报价得分=（投标报价/评标基准价）×12。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3.项目服务费：价格最低的投标报价为评标基准价，其价格为满分。其他投标人的价格分统一按照下列公式计算：投标报价得分=（评标基准价/投标报价）×6。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技术要求（46%）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1.参选机构带*条款的响应得分规则如下：全部满足带*条为满分，不满足一条扣6分，扣完为止。</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50"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①响应内容应提供承诺函或其他纸质证明材料并逐页加盖参选机构鲜章。②带*条款为重要条款的响应。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2.参选机构一般条款的响应得分规则如下：（一般条款是指：除标注“*” 的条款以外的所有条款）全部满足为满分，不满足一条扣1分，扣完为止。</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50"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业绩证明（6%）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业绩证明文件，参选机构提供2020年以来，在三级及以上医院类似合作案例，以3家为基数，满足得3分，不满足不得分；每超过1家加1分，最多加3分。</w:t>
            </w:r>
          </w:p>
        </w:tc>
        <w:tc>
          <w:tcPr>
            <w:tcW w:w="99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需提供合同复印件及医院等级证明材料并加盖参选机构鲜章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合作方案与服务能力</w:t>
            </w:r>
          </w:p>
          <w:p>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4"/>
                <w:szCs w:val="24"/>
                <w:u w:val="none"/>
                <w:lang w:val="en-US" w:eastAsia="zh-CN" w:bidi="ar"/>
              </w:rPr>
              <w:t>（18%）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根据所提供服务方案的整体质量、可行性进行打分：在要求的合作模式下，有完整的运行流程及质量控制流程；有及时响应的应急保障措施；具备完善的售后服务方案。要求方案清晰、科学、完善、可行性高。提供上述三项方案的，得18分，有一项未提供扣6分，扣完为止。</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提</w:t>
            </w:r>
            <w:r>
              <w:rPr>
                <w:rFonts w:hint="eastAsia" w:ascii="仿宋" w:hAnsi="仿宋" w:eastAsia="仿宋" w:cs="仿宋"/>
                <w:i w:val="0"/>
                <w:iCs w:val="0"/>
                <w:color w:val="000000"/>
                <w:kern w:val="0"/>
                <w:sz w:val="24"/>
                <w:szCs w:val="24"/>
                <w:u w:val="none"/>
                <w:lang w:val="en-US" w:eastAsia="zh-CN" w:bidi="ar"/>
              </w:rPr>
              <w:t>供证明材料并</w:t>
            </w:r>
            <w:r>
              <w:rPr>
                <w:rFonts w:hint="eastAsia" w:ascii="仿宋" w:hAnsi="仿宋" w:eastAsia="仿宋" w:cs="仿宋"/>
                <w:i w:val="0"/>
                <w:iCs w:val="0"/>
                <w:color w:val="000000"/>
                <w:kern w:val="0"/>
                <w:sz w:val="24"/>
                <w:szCs w:val="24"/>
                <w:u w:val="none"/>
                <w:lang w:eastAsia="zh-CN" w:bidi="ar"/>
              </w:rPr>
              <w:t>逐页</w:t>
            </w:r>
            <w:r>
              <w:rPr>
                <w:rFonts w:hint="eastAsia" w:ascii="仿宋" w:hAnsi="仿宋" w:eastAsia="仿宋" w:cs="仿宋"/>
                <w:i w:val="0"/>
                <w:iCs w:val="0"/>
                <w:color w:val="000000"/>
                <w:kern w:val="0"/>
                <w:sz w:val="24"/>
                <w:szCs w:val="24"/>
                <w:u w:val="none"/>
                <w:lang w:val="en-US" w:eastAsia="zh-CN" w:bidi="ar"/>
              </w:rPr>
              <w:t>加盖参选机构鲜章。</w:t>
            </w:r>
          </w:p>
          <w:p>
            <w:pPr>
              <w:rPr>
                <w:rFonts w:hint="eastAsia" w:ascii="仿宋" w:hAnsi="仿宋" w:eastAsia="仿宋" w:cs="仿宋"/>
                <w:i w:val="0"/>
                <w:iCs w:val="0"/>
                <w:color w:val="000000"/>
                <w:sz w:val="24"/>
                <w:szCs w:val="24"/>
                <w:u w:val="none"/>
              </w:rPr>
            </w:pPr>
          </w:p>
        </w:tc>
      </w:tr>
    </w:tbl>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rPr>
          <w:rFonts w:hint="eastAsia" w:ascii="仿宋" w:hAnsi="仿宋" w:eastAsia="仿宋"/>
          <w:b/>
          <w:sz w:val="32"/>
          <w:szCs w:val="28"/>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31DDD"/>
    <w:multiLevelType w:val="singleLevel"/>
    <w:tmpl w:val="B1931DDD"/>
    <w:lvl w:ilvl="0" w:tentative="0">
      <w:start w:val="3"/>
      <w:numFmt w:val="chineseCounting"/>
      <w:suff w:val="nothing"/>
      <w:lvlText w:val="（%1）"/>
      <w:lvlJc w:val="left"/>
      <w:rPr>
        <w:rFonts w:hint="eastAsia"/>
      </w:rPr>
    </w:lvl>
  </w:abstractNum>
  <w:abstractNum w:abstractNumId="1">
    <w:nsid w:val="63328C52"/>
    <w:multiLevelType w:val="singleLevel"/>
    <w:tmpl w:val="63328C5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40D3"/>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46033"/>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A79AE"/>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13219C8"/>
    <w:rsid w:val="01AE15BA"/>
    <w:rsid w:val="02046E73"/>
    <w:rsid w:val="022C0730"/>
    <w:rsid w:val="02B25B77"/>
    <w:rsid w:val="02D04D52"/>
    <w:rsid w:val="065917A1"/>
    <w:rsid w:val="068A4895"/>
    <w:rsid w:val="07865CC1"/>
    <w:rsid w:val="08B12BD3"/>
    <w:rsid w:val="090917E1"/>
    <w:rsid w:val="09EE37F9"/>
    <w:rsid w:val="0AC21C32"/>
    <w:rsid w:val="0AD777BB"/>
    <w:rsid w:val="0AF93291"/>
    <w:rsid w:val="0C3D1EB8"/>
    <w:rsid w:val="0C801DA5"/>
    <w:rsid w:val="0CB40DE6"/>
    <w:rsid w:val="0D0D639A"/>
    <w:rsid w:val="0D4D6A8C"/>
    <w:rsid w:val="0D5B6275"/>
    <w:rsid w:val="0EC10A41"/>
    <w:rsid w:val="0EC61D01"/>
    <w:rsid w:val="0F19286B"/>
    <w:rsid w:val="0F662CE2"/>
    <w:rsid w:val="0FE11533"/>
    <w:rsid w:val="10A31851"/>
    <w:rsid w:val="10B30F68"/>
    <w:rsid w:val="11403123"/>
    <w:rsid w:val="12244F80"/>
    <w:rsid w:val="12485112"/>
    <w:rsid w:val="129B01A8"/>
    <w:rsid w:val="135103B7"/>
    <w:rsid w:val="13A659AB"/>
    <w:rsid w:val="146A0021"/>
    <w:rsid w:val="14E81685"/>
    <w:rsid w:val="156D00FF"/>
    <w:rsid w:val="159F500E"/>
    <w:rsid w:val="15B036FB"/>
    <w:rsid w:val="174D31CB"/>
    <w:rsid w:val="17A56CAE"/>
    <w:rsid w:val="182C48E3"/>
    <w:rsid w:val="186175D4"/>
    <w:rsid w:val="194062FB"/>
    <w:rsid w:val="1A2B77F4"/>
    <w:rsid w:val="1AB36AD5"/>
    <w:rsid w:val="1B5E59A7"/>
    <w:rsid w:val="1B783377"/>
    <w:rsid w:val="1BE3708C"/>
    <w:rsid w:val="1C080CFB"/>
    <w:rsid w:val="1C393D1E"/>
    <w:rsid w:val="1D2B664D"/>
    <w:rsid w:val="1D77071A"/>
    <w:rsid w:val="1DDA0EB6"/>
    <w:rsid w:val="1E55507B"/>
    <w:rsid w:val="1F0617AF"/>
    <w:rsid w:val="1F9F2057"/>
    <w:rsid w:val="1FC20CFF"/>
    <w:rsid w:val="20296706"/>
    <w:rsid w:val="204C362A"/>
    <w:rsid w:val="20C368F8"/>
    <w:rsid w:val="211E7B23"/>
    <w:rsid w:val="21503898"/>
    <w:rsid w:val="225E4AC7"/>
    <w:rsid w:val="22E14319"/>
    <w:rsid w:val="232F02A4"/>
    <w:rsid w:val="27363334"/>
    <w:rsid w:val="286640ED"/>
    <w:rsid w:val="286D5C93"/>
    <w:rsid w:val="29CA26C7"/>
    <w:rsid w:val="29EC4C3C"/>
    <w:rsid w:val="2AA40CE7"/>
    <w:rsid w:val="2AB071E6"/>
    <w:rsid w:val="2AB71FB6"/>
    <w:rsid w:val="2B3763B3"/>
    <w:rsid w:val="2BA07916"/>
    <w:rsid w:val="2BD30E9C"/>
    <w:rsid w:val="2BD630A1"/>
    <w:rsid w:val="2C3F2356"/>
    <w:rsid w:val="2CB76CC5"/>
    <w:rsid w:val="2CCA6A56"/>
    <w:rsid w:val="2D436988"/>
    <w:rsid w:val="2E920B22"/>
    <w:rsid w:val="2F643C4E"/>
    <w:rsid w:val="322E4844"/>
    <w:rsid w:val="33092244"/>
    <w:rsid w:val="33FE18E2"/>
    <w:rsid w:val="3489489A"/>
    <w:rsid w:val="350C467A"/>
    <w:rsid w:val="35106D39"/>
    <w:rsid w:val="35853A9F"/>
    <w:rsid w:val="358E7516"/>
    <w:rsid w:val="36406C01"/>
    <w:rsid w:val="36D52B69"/>
    <w:rsid w:val="374C704E"/>
    <w:rsid w:val="3787194D"/>
    <w:rsid w:val="383051EC"/>
    <w:rsid w:val="392C4B7E"/>
    <w:rsid w:val="396A15C3"/>
    <w:rsid w:val="3B32271F"/>
    <w:rsid w:val="3B84310D"/>
    <w:rsid w:val="3C676D43"/>
    <w:rsid w:val="3CEA420A"/>
    <w:rsid w:val="3CEE1D4C"/>
    <w:rsid w:val="3DA908AC"/>
    <w:rsid w:val="3DCC55BB"/>
    <w:rsid w:val="3F5D2B3A"/>
    <w:rsid w:val="3F9F4367"/>
    <w:rsid w:val="3FBB48C6"/>
    <w:rsid w:val="3FE0432D"/>
    <w:rsid w:val="3FFC1167"/>
    <w:rsid w:val="40270DAD"/>
    <w:rsid w:val="40955117"/>
    <w:rsid w:val="412C40D1"/>
    <w:rsid w:val="413C37E5"/>
    <w:rsid w:val="445E4006"/>
    <w:rsid w:val="452E25E2"/>
    <w:rsid w:val="453B46DA"/>
    <w:rsid w:val="459D541B"/>
    <w:rsid w:val="45AC0314"/>
    <w:rsid w:val="4608590C"/>
    <w:rsid w:val="4621793D"/>
    <w:rsid w:val="462A4554"/>
    <w:rsid w:val="46A77952"/>
    <w:rsid w:val="479240E4"/>
    <w:rsid w:val="48387928"/>
    <w:rsid w:val="487A3C34"/>
    <w:rsid w:val="4B3612CD"/>
    <w:rsid w:val="4B466FC9"/>
    <w:rsid w:val="4D001B6A"/>
    <w:rsid w:val="4D761E2D"/>
    <w:rsid w:val="4D875AEF"/>
    <w:rsid w:val="4DF71675"/>
    <w:rsid w:val="4E6E7530"/>
    <w:rsid w:val="52024F4A"/>
    <w:rsid w:val="521C7D39"/>
    <w:rsid w:val="52725202"/>
    <w:rsid w:val="53184E30"/>
    <w:rsid w:val="5336549F"/>
    <w:rsid w:val="557A2C1D"/>
    <w:rsid w:val="5587107B"/>
    <w:rsid w:val="55BF6A67"/>
    <w:rsid w:val="560C305F"/>
    <w:rsid w:val="57D63138"/>
    <w:rsid w:val="58110BCB"/>
    <w:rsid w:val="58D603B7"/>
    <w:rsid w:val="58FF4954"/>
    <w:rsid w:val="59EE3C8E"/>
    <w:rsid w:val="5B5E0F00"/>
    <w:rsid w:val="5D6705E7"/>
    <w:rsid w:val="5DDE0EF2"/>
    <w:rsid w:val="5E8F3D62"/>
    <w:rsid w:val="5EF02608"/>
    <w:rsid w:val="5F174C09"/>
    <w:rsid w:val="5F213199"/>
    <w:rsid w:val="5F2E3793"/>
    <w:rsid w:val="60470FEA"/>
    <w:rsid w:val="608F7035"/>
    <w:rsid w:val="61A6391B"/>
    <w:rsid w:val="61E723CC"/>
    <w:rsid w:val="621C1D54"/>
    <w:rsid w:val="62785FB1"/>
    <w:rsid w:val="62C61B62"/>
    <w:rsid w:val="631A75CF"/>
    <w:rsid w:val="637D216D"/>
    <w:rsid w:val="63CB4828"/>
    <w:rsid w:val="655B26C1"/>
    <w:rsid w:val="65983C87"/>
    <w:rsid w:val="66B44169"/>
    <w:rsid w:val="672572C9"/>
    <w:rsid w:val="67FC610F"/>
    <w:rsid w:val="6A372895"/>
    <w:rsid w:val="6BEF7107"/>
    <w:rsid w:val="6C66644F"/>
    <w:rsid w:val="6C830396"/>
    <w:rsid w:val="6C8C675E"/>
    <w:rsid w:val="6C8D626A"/>
    <w:rsid w:val="6D732880"/>
    <w:rsid w:val="6E362785"/>
    <w:rsid w:val="6F1E2035"/>
    <w:rsid w:val="6FA24510"/>
    <w:rsid w:val="701D28B0"/>
    <w:rsid w:val="7148086A"/>
    <w:rsid w:val="71AE3117"/>
    <w:rsid w:val="73EF0213"/>
    <w:rsid w:val="7478299F"/>
    <w:rsid w:val="748950FC"/>
    <w:rsid w:val="7571237D"/>
    <w:rsid w:val="75A45B38"/>
    <w:rsid w:val="75C97621"/>
    <w:rsid w:val="766537ED"/>
    <w:rsid w:val="767710B2"/>
    <w:rsid w:val="768F7938"/>
    <w:rsid w:val="775F36A1"/>
    <w:rsid w:val="77955421"/>
    <w:rsid w:val="77C95EEC"/>
    <w:rsid w:val="781E1859"/>
    <w:rsid w:val="789D7585"/>
    <w:rsid w:val="78D22FF2"/>
    <w:rsid w:val="791473AE"/>
    <w:rsid w:val="793F6063"/>
    <w:rsid w:val="79984985"/>
    <w:rsid w:val="79996D18"/>
    <w:rsid w:val="79B83691"/>
    <w:rsid w:val="7A4E0664"/>
    <w:rsid w:val="7AD47607"/>
    <w:rsid w:val="7ADC2D9C"/>
    <w:rsid w:val="7B96182F"/>
    <w:rsid w:val="7C6333F8"/>
    <w:rsid w:val="7CC35590"/>
    <w:rsid w:val="7DC01526"/>
    <w:rsid w:val="7F840255"/>
    <w:rsid w:val="7FA75CF2"/>
    <w:rsid w:val="7FE90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9"/>
    <w:pPr>
      <w:keepNext/>
      <w:keepLines/>
      <w:spacing w:beforeLines="100" w:afterLines="100"/>
      <w:jc w:val="center"/>
      <w:outlineLvl w:val="1"/>
    </w:pPr>
    <w:rPr>
      <w:rFonts w:ascii="Arial" w:hAnsi="Arial" w:eastAsia="黑体"/>
      <w:b/>
      <w:bCs/>
      <w:sz w:val="30"/>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5">
    <w:name w:val="Normal Indent"/>
    <w:basedOn w:val="1"/>
    <w:qFormat/>
    <w:uiPriority w:val="0"/>
    <w:pPr>
      <w:ind w:firstLine="420"/>
    </w:pPr>
    <w:rPr>
      <w:rFonts w:ascii="Times New Roman"/>
    </w:rPr>
  </w:style>
  <w:style w:type="paragraph" w:styleId="6">
    <w:name w:val="annotation text"/>
    <w:basedOn w:val="1"/>
    <w:link w:val="27"/>
    <w:semiHidden/>
    <w:unhideWhenUsed/>
    <w:qFormat/>
    <w:uiPriority w:val="99"/>
    <w:pPr>
      <w:jc w:val="left"/>
    </w:pPr>
  </w:style>
  <w:style w:type="paragraph" w:styleId="7">
    <w:name w:val="Body Text Indent"/>
    <w:basedOn w:val="1"/>
    <w:qFormat/>
    <w:uiPriority w:val="0"/>
    <w:pPr>
      <w:ind w:firstLine="660"/>
    </w:pPr>
    <w:rPr>
      <w:rFonts w:ascii="宋体" w:hAnsi="宋体"/>
      <w:color w:val="000000"/>
      <w:kern w:val="0"/>
      <w:sz w:val="24"/>
      <w:szCs w:val="24"/>
    </w:rPr>
  </w:style>
  <w:style w:type="paragraph" w:styleId="8">
    <w:name w:val="Plain Text"/>
    <w:basedOn w:val="1"/>
    <w:unhideWhenUsed/>
    <w:qFormat/>
    <w:uiPriority w:val="99"/>
    <w:rPr>
      <w:rFonts w:ascii="宋体" w:hAnsi="Courier New" w:eastAsia="宋体"/>
    </w:rPr>
  </w:style>
  <w:style w:type="paragraph" w:styleId="9">
    <w:name w:val="Date"/>
    <w:basedOn w:val="1"/>
    <w:next w:val="1"/>
    <w:link w:val="30"/>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rFonts w:ascii="Times New Roman" w:hAnsi="Times New Roman" w:cs="Times New Roman"/>
      <w:sz w:val="24"/>
      <w:szCs w:val="24"/>
    </w:rPr>
  </w:style>
  <w:style w:type="paragraph" w:styleId="14">
    <w:name w:val="annotation subject"/>
    <w:basedOn w:val="6"/>
    <w:next w:val="6"/>
    <w:link w:val="28"/>
    <w:semiHidden/>
    <w:unhideWhenUsed/>
    <w:qFormat/>
    <w:uiPriority w:val="99"/>
    <w:rPr>
      <w:b/>
      <w:bCs/>
    </w:rPr>
  </w:style>
  <w:style w:type="paragraph" w:styleId="15">
    <w:name w:val="Body Text First Indent"/>
    <w:basedOn w:val="2"/>
    <w:next w:val="1"/>
    <w:qFormat/>
    <w:uiPriority w:val="0"/>
    <w:pPr>
      <w:ind w:firstLine="420" w:firstLineChars="100"/>
    </w:pPr>
  </w:style>
  <w:style w:type="paragraph" w:styleId="16">
    <w:name w:val="Body Text First Indent 2"/>
    <w:basedOn w:val="7"/>
    <w:qFormat/>
    <w:uiPriority w:val="0"/>
    <w:pPr>
      <w:ind w:firstLine="420"/>
    </w:p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Emphasis"/>
    <w:basedOn w:val="19"/>
    <w:qFormat/>
    <w:uiPriority w:val="20"/>
    <w:rPr>
      <w:i/>
    </w:rPr>
  </w:style>
  <w:style w:type="character" w:styleId="21">
    <w:name w:val="annotation reference"/>
    <w:basedOn w:val="19"/>
    <w:semiHidden/>
    <w:unhideWhenUsed/>
    <w:qFormat/>
    <w:uiPriority w:val="99"/>
    <w:rPr>
      <w:sz w:val="21"/>
      <w:szCs w:val="21"/>
    </w:rPr>
  </w:style>
  <w:style w:type="paragraph" w:customStyle="1" w:styleId="22">
    <w:name w:val="表格文字"/>
    <w:basedOn w:val="23"/>
    <w:qFormat/>
    <w:uiPriority w:val="0"/>
  </w:style>
  <w:style w:type="paragraph" w:customStyle="1" w:styleId="23">
    <w:name w:val="表格文字（两侧对齐）"/>
    <w:basedOn w:val="1"/>
    <w:qFormat/>
    <w:uiPriority w:val="0"/>
    <w:pPr>
      <w:widowControl w:val="0"/>
      <w:spacing w:line="240" w:lineRule="auto"/>
      <w:ind w:firstLine="0" w:firstLineChars="0"/>
    </w:pPr>
    <w:rPr>
      <w:rFonts w:ascii="Calibri" w:hAnsi="Calibri" w:cs="Times New Roman"/>
      <w:kern w:val="0"/>
      <w:sz w:val="20"/>
    </w:rPr>
  </w:style>
  <w:style w:type="paragraph" w:styleId="24">
    <w:name w:val="List Paragraph"/>
    <w:basedOn w:val="1"/>
    <w:qFormat/>
    <w:uiPriority w:val="34"/>
    <w:pPr>
      <w:ind w:firstLine="420" w:firstLineChars="200"/>
    </w:pPr>
  </w:style>
  <w:style w:type="character" w:customStyle="1" w:styleId="25">
    <w:name w:val="页眉 Char"/>
    <w:basedOn w:val="19"/>
    <w:link w:val="12"/>
    <w:qFormat/>
    <w:uiPriority w:val="99"/>
    <w:rPr>
      <w:sz w:val="18"/>
      <w:szCs w:val="18"/>
    </w:rPr>
  </w:style>
  <w:style w:type="character" w:customStyle="1" w:styleId="26">
    <w:name w:val="页脚 Char"/>
    <w:basedOn w:val="19"/>
    <w:link w:val="11"/>
    <w:qFormat/>
    <w:uiPriority w:val="99"/>
    <w:rPr>
      <w:sz w:val="18"/>
      <w:szCs w:val="18"/>
    </w:rPr>
  </w:style>
  <w:style w:type="character" w:customStyle="1" w:styleId="27">
    <w:name w:val="批注文字 Char"/>
    <w:basedOn w:val="19"/>
    <w:link w:val="6"/>
    <w:semiHidden/>
    <w:qFormat/>
    <w:uiPriority w:val="99"/>
  </w:style>
  <w:style w:type="character" w:customStyle="1" w:styleId="28">
    <w:name w:val="批注主题 Char"/>
    <w:basedOn w:val="27"/>
    <w:link w:val="14"/>
    <w:semiHidden/>
    <w:qFormat/>
    <w:uiPriority w:val="99"/>
    <w:rPr>
      <w:b/>
      <w:bCs/>
    </w:rPr>
  </w:style>
  <w:style w:type="character" w:customStyle="1" w:styleId="29">
    <w:name w:val="批注框文本 Char"/>
    <w:basedOn w:val="19"/>
    <w:link w:val="10"/>
    <w:semiHidden/>
    <w:qFormat/>
    <w:uiPriority w:val="99"/>
    <w:rPr>
      <w:sz w:val="18"/>
      <w:szCs w:val="18"/>
    </w:rPr>
  </w:style>
  <w:style w:type="character" w:customStyle="1" w:styleId="30">
    <w:name w:val="日期 Char"/>
    <w:basedOn w:val="19"/>
    <w:link w:val="9"/>
    <w:semiHidden/>
    <w:qFormat/>
    <w:uiPriority w:val="99"/>
  </w:style>
  <w:style w:type="table" w:customStyle="1" w:styleId="31">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NormalCharacter"/>
    <w:qFormat/>
    <w:uiPriority w:val="0"/>
    <w:rPr>
      <w:rFonts w:ascii="Times New Roman" w:hAnsi="Times New Roman" w:eastAsia="宋体" w:cs="Times New Roman"/>
      <w:kern w:val="2"/>
      <w:sz w:val="21"/>
      <w:szCs w:val="24"/>
      <w:lang w:val="en-US" w:eastAsia="zh-CN" w:bidi="ar-SA"/>
    </w:rPr>
  </w:style>
  <w:style w:type="paragraph" w:customStyle="1" w:styleId="33">
    <w:name w:val="Body text|1"/>
    <w:basedOn w:val="1"/>
    <w:qFormat/>
    <w:uiPriority w:val="0"/>
    <w:pPr>
      <w:spacing w:line="480" w:lineRule="auto"/>
      <w:ind w:firstLine="400"/>
    </w:pPr>
    <w:rPr>
      <w:rFonts w:ascii="宋体" w:hAnsi="宋体" w:cs="宋体"/>
      <w:sz w:val="26"/>
      <w:szCs w:val="26"/>
      <w:lang w:val="zh-TW" w:eastAsia="zh-TW" w:bidi="zh-TW"/>
    </w:rPr>
  </w:style>
  <w:style w:type="paragraph" w:customStyle="1" w:styleId="34">
    <w:name w:val=".正文"/>
    <w:basedOn w:val="1"/>
    <w:qFormat/>
    <w:uiPriority w:val="0"/>
    <w:pPr>
      <w:widowControl w:val="0"/>
      <w:spacing w:beforeLines="50"/>
      <w:ind w:firstLine="200" w:firstLineChars="200"/>
      <w:jc w:val="both"/>
    </w:pPr>
    <w:rPr>
      <w:rFonts w:ascii="Calibri" w:hAnsi="Calibri" w:eastAsia="华文仿宋"/>
      <w:kern w:val="2"/>
      <w:sz w:val="21"/>
      <w:szCs w:val="22"/>
    </w:rPr>
  </w:style>
  <w:style w:type="character" w:customStyle="1" w:styleId="35">
    <w:name w:val="font61"/>
    <w:basedOn w:val="19"/>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C57AC-F384-4852-B080-CB945217B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6190</Words>
  <Characters>6422</Characters>
  <Lines>49</Lines>
  <Paragraphs>13</Paragraphs>
  <TotalTime>19</TotalTime>
  <ScaleCrop>false</ScaleCrop>
  <LinksUpToDate>false</LinksUpToDate>
  <CharactersWithSpaces>6512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2020-10-16T02:30:00Z</dcterms:created>
  <dc:creator>林央芝</dc:creator>
  <cp:lastModifiedBy>杨沁菀</cp:lastModifiedBy>
  <cp:lastPrinted>2020-10-19T07:41:00Z</cp:lastPrinted>
  <dcterms:modified xsi:type="dcterms:W3CDTF">2023-04-27T08:52:04Z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2052-11.8.6.9023</vt:lpwstr>
  </property>
  <property fmtid="{D5CDD505-2E9C-101B-9397-08002B2CF9AE}" pid="4" name="ICV">
    <vt:lpwstr>0834CF87B76242D9AE152AF281516A39</vt:lpwstr>
  </property>
</Properties>
</file>