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numPr>
          <w:ilvl w:val="0"/>
          <w:numId w:val="1"/>
        </w:numPr>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采购项目需求</w:t>
      </w:r>
    </w:p>
    <w:tbl>
      <w:tblPr>
        <w:tblStyle w:val="6"/>
        <w:tblW w:w="9285" w:type="dxa"/>
        <w:jc w:val="center"/>
        <w:tblLayout w:type="fixed"/>
        <w:tblCellMar>
          <w:top w:w="0" w:type="dxa"/>
          <w:left w:w="0" w:type="dxa"/>
          <w:bottom w:w="0" w:type="dxa"/>
          <w:right w:w="0" w:type="dxa"/>
        </w:tblCellMar>
      </w:tblPr>
      <w:tblGrid>
        <w:gridCol w:w="660"/>
        <w:gridCol w:w="1449"/>
        <w:gridCol w:w="1326"/>
        <w:gridCol w:w="937"/>
        <w:gridCol w:w="482"/>
        <w:gridCol w:w="742"/>
        <w:gridCol w:w="1018"/>
        <w:gridCol w:w="2671"/>
      </w:tblGrid>
      <w:tr>
        <w:tblPrEx>
          <w:tblCellMar>
            <w:top w:w="0" w:type="dxa"/>
            <w:left w:w="0" w:type="dxa"/>
            <w:bottom w:w="0" w:type="dxa"/>
            <w:right w:w="0" w:type="dxa"/>
          </w:tblCellMar>
        </w:tblPrEx>
        <w:trPr>
          <w:trHeight w:val="4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产品名称</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产品说明</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计价单位</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需求规格</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年用量</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技术参数</w:t>
            </w:r>
          </w:p>
        </w:tc>
      </w:tr>
      <w:tr>
        <w:tblPrEx>
          <w:tblCellMar>
            <w:top w:w="0" w:type="dxa"/>
            <w:left w:w="0" w:type="dxa"/>
            <w:bottom w:w="0" w:type="dxa"/>
            <w:right w:w="0" w:type="dxa"/>
          </w:tblCellMar>
        </w:tblPrEx>
        <w:trPr>
          <w:trHeight w:val="2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普通吸嘴（散装）</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用于标本或试剂等的移液转移。</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1.PP材质，高透明度，内壁光滑，减少挂壁残留，降低吸附。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2.散装普通吸嘴可高温灭菌。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3.滤芯吸嘴要求无菌、无热源、无DNA/RNA酶。</w:t>
            </w: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350000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16500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滤芯吸嘴（盒装和散装）</w:t>
            </w: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盒装</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散装</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1000ul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吸咀盒</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用于盛装吸嘴，适配前述各规格吸嘴。</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1.用于盛装吸嘴，适配前述各规格吸嘴。</w:t>
            </w:r>
          </w:p>
        </w:tc>
      </w:tr>
      <w:tr>
        <w:tblPrEx>
          <w:tblCellMar>
            <w:top w:w="0" w:type="dxa"/>
            <w:left w:w="0" w:type="dxa"/>
            <w:bottom w:w="0" w:type="dxa"/>
            <w:right w:w="0" w:type="dxa"/>
          </w:tblCellMar>
        </w:tblPrEx>
        <w:trPr>
          <w:trHeight w:val="90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PCR反应管</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适用于荧光定量PCR仪。</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单个</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5000</w:t>
            </w:r>
          </w:p>
        </w:tc>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1.适用于各类PCR反应，特别是荧光定量PCR实验；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2.容量0.2ml和0.1ml；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3.透明平盖薄壁管，管盖紧密牢固，防漏性好，不易漏液；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4.可高压灭菌，可耐-80度低温；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5.无热源无DNA/RNA酶</w:t>
            </w:r>
          </w:p>
        </w:tc>
      </w:tr>
      <w:tr>
        <w:tblPrEx>
          <w:tblCellMar>
            <w:top w:w="0" w:type="dxa"/>
            <w:left w:w="0" w:type="dxa"/>
            <w:bottom w:w="0" w:type="dxa"/>
            <w:right w:w="0" w:type="dxa"/>
          </w:tblCellMar>
        </w:tblPrEx>
        <w:trPr>
          <w:trHeight w:val="9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8联</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6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96孔U型板</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适用于富士公司肺炎支原体抗体检验测试剂（SERODIA-MYCO II）、梅毒螺旋体抗体检测试剂盒（SERODIA-TPPA）的96孔反应板。</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1.适用于富士公司肺炎支原体抗体检验测试剂（SERODIA-MYCO II）、梅毒螺旋体抗体检测试剂盒（SERODIA-TPPA）的96孔反应板。</w:t>
            </w:r>
          </w:p>
        </w:tc>
      </w:tr>
      <w:tr>
        <w:tblPrEx>
          <w:tblCellMar>
            <w:top w:w="0" w:type="dxa"/>
            <w:left w:w="0" w:type="dxa"/>
            <w:bottom w:w="0" w:type="dxa"/>
            <w:right w:w="0" w:type="dxa"/>
          </w:tblCellMar>
        </w:tblPrEx>
        <w:trPr>
          <w:trHeight w:val="402"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一次性使用无菌拭子</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女性生殖道采样拭子和男性尿道采样拭子，咽拭子、鼻咽拭子分别报价。</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女性生殖道采样拭子</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108600</w:t>
            </w:r>
          </w:p>
        </w:tc>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1.含女性生殖道采样拭子和男性尿道采样拭子，咽拭子、鼻咽拭子。</w:t>
            </w:r>
          </w:p>
        </w:tc>
      </w:tr>
      <w:tr>
        <w:tblPrEx>
          <w:tblCellMar>
            <w:top w:w="0" w:type="dxa"/>
            <w:left w:w="0" w:type="dxa"/>
            <w:bottom w:w="0" w:type="dxa"/>
            <w:right w:w="0" w:type="dxa"/>
          </w:tblCellMar>
        </w:tblPrEx>
        <w:trPr>
          <w:trHeight w:val="40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男性尿道采样拭子</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咽拭子</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鼻咽拭子</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8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一次性使用便杯（临检）</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容量≥40ml左右，带盖。</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139760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1.容量≥40ml左右；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2.带盖，密封性能好；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3.瓶体透明，带刻度；</w:t>
            </w:r>
          </w:p>
        </w:tc>
      </w:tr>
      <w:tr>
        <w:tblPrEx>
          <w:tblCellMar>
            <w:top w:w="0" w:type="dxa"/>
            <w:left w:w="0" w:type="dxa"/>
            <w:bottom w:w="0" w:type="dxa"/>
            <w:right w:w="0" w:type="dxa"/>
          </w:tblCellMar>
        </w:tblPrEx>
        <w:trPr>
          <w:trHeight w:val="747"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一次性使用微量采血吸管</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用于临床采集或转移末梢血。20ul、40ul两种规格分别报价</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20ul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10000</w:t>
            </w:r>
          </w:p>
        </w:tc>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1.玻璃材质，并经硅化处理；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2.容量精度&lt;1%；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3.无菌；</w:t>
            </w:r>
          </w:p>
        </w:tc>
      </w:tr>
      <w:tr>
        <w:tblPrEx>
          <w:tblCellMar>
            <w:top w:w="0" w:type="dxa"/>
            <w:left w:w="0" w:type="dxa"/>
            <w:bottom w:w="0" w:type="dxa"/>
            <w:right w:w="0" w:type="dxa"/>
          </w:tblCellMar>
        </w:tblPrEx>
        <w:trPr>
          <w:trHeight w:val="558"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40ul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1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尿沉渣试管</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用于尿液沉渣离心后有形成分镜检分析。</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76800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1.螺口型，12ml，17mm*105mm，硬质透明塑料试管。用于尿液沉渣离心后有形成分镜检分析。</w:t>
            </w:r>
          </w:p>
        </w:tc>
      </w:tr>
      <w:tr>
        <w:tblPrEx>
          <w:tblCellMar>
            <w:top w:w="0" w:type="dxa"/>
            <w:left w:w="0" w:type="dxa"/>
            <w:bottom w:w="0" w:type="dxa"/>
            <w:right w:w="0" w:type="dxa"/>
          </w:tblCellMar>
        </w:tblPrEx>
        <w:trPr>
          <w:trHeight w:val="2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普通离心管</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0.2ml、0.5ml、1.5ml、15ml、20ml等规格分别报价；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无菌和非无菌包装的分别报价。</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无菌</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0.2ml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1.离心用，有0.2ml、0.5ml、1.5ml、15ml、20ml等规格可供医院选择。</w:t>
            </w: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非无菌</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0.2ml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0.5ml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35500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1.5ml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15ml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20ml</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离心管（无热源无DNA/RNA）</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1.5ml，分子专用，离心、提取</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39000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1.5ml，分子专用，离心、提取。要求满足PCR耐高温孵育提取。需通过性能验证，适用于PCR实验，无热源无DNA/RNA酶。</w:t>
            </w:r>
          </w:p>
        </w:tc>
      </w:tr>
      <w:tr>
        <w:tblPrEx>
          <w:tblCellMar>
            <w:top w:w="0" w:type="dxa"/>
            <w:left w:w="0" w:type="dxa"/>
            <w:bottom w:w="0" w:type="dxa"/>
            <w:right w:w="0" w:type="dxa"/>
          </w:tblCellMar>
        </w:tblPrEx>
        <w:trPr>
          <w:trHeight w:val="2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塑料吸管</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0.5ml、1ml、3ml等规格分别报价。</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1.用于生化组、分子实验加样。有0.5ml、1ml、3ml等规格。</w:t>
            </w: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一次性使用塑料样品杯</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适配日立生化分析仪，16mm*38mm。</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15000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1.适配日立生化分析仪，16mm*38mm。</w:t>
            </w:r>
          </w:p>
        </w:tc>
      </w:tr>
      <w:tr>
        <w:tblPrEx>
          <w:tblCellMar>
            <w:top w:w="0" w:type="dxa"/>
            <w:left w:w="0" w:type="dxa"/>
            <w:bottom w:w="0" w:type="dxa"/>
            <w:right w:w="0" w:type="dxa"/>
          </w:tblCellMar>
        </w:tblPrEx>
        <w:trPr>
          <w:trHeight w:val="402"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塑料试管</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用于生化免疫实验。软质、硬质分别报价。</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软质</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1.规格：12mm*75mm，软质、硬质均要。</w:t>
            </w:r>
          </w:p>
        </w:tc>
      </w:tr>
      <w:tr>
        <w:tblPrEx>
          <w:tblCellMar>
            <w:top w:w="0" w:type="dxa"/>
            <w:left w:w="0" w:type="dxa"/>
            <w:bottom w:w="0" w:type="dxa"/>
            <w:right w:w="0" w:type="dxa"/>
          </w:tblCellMar>
        </w:tblPrEx>
        <w:trPr>
          <w:trHeight w:val="40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硬质</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169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载玻片</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适用于血液体液细胞学和微生物学使用的普通玻片、以及血细胞推片机使用的玻片。</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1.超白玻璃材质，轻薄透光；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2.高清洁度，免洗；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3.抛光边和45°倒角设计，单头单面蒙砂，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4.25*75mm，厚度:1m-1.2mm，50片/盒</w:t>
            </w:r>
          </w:p>
        </w:tc>
      </w:tr>
      <w:tr>
        <w:tblPrEx>
          <w:tblCellMar>
            <w:top w:w="0" w:type="dxa"/>
            <w:left w:w="0" w:type="dxa"/>
            <w:bottom w:w="0" w:type="dxa"/>
            <w:right w:w="0" w:type="dxa"/>
          </w:tblCellMar>
        </w:tblPrEx>
        <w:trPr>
          <w:trHeight w:val="1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一次性细胞计数板</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用于体液细胞计数。规格:10计数区/片；计数区尺寸 :9mm*9mm*0.1mm。</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1.用于体液细胞计数。规格:10计数区/片；计数区尺寸 :9mm*9mm*0.1mm。</w:t>
            </w:r>
          </w:p>
        </w:tc>
      </w:tr>
      <w:tr>
        <w:tblPrEx>
          <w:tblCellMar>
            <w:top w:w="0" w:type="dxa"/>
            <w:left w:w="0" w:type="dxa"/>
            <w:bottom w:w="0" w:type="dxa"/>
            <w:right w:w="0" w:type="dxa"/>
          </w:tblCellMar>
        </w:tblPrEx>
        <w:trPr>
          <w:trHeight w:val="15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一次性无菌痰杯</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主要用于痰液等无菌体体液标本的盛装、量取或保存。</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1.容量≥25ml左右，单支塑袋包装，灭菌。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2.瓶盖防漏垫圈设计可有效防止标本渗漏、污染，便于保存和运送。</w:t>
            </w:r>
          </w:p>
        </w:tc>
      </w:tr>
      <w:tr>
        <w:tblPrEx>
          <w:tblCellMar>
            <w:top w:w="0" w:type="dxa"/>
            <w:left w:w="0" w:type="dxa"/>
            <w:bottom w:w="0" w:type="dxa"/>
            <w:right w:w="0" w:type="dxa"/>
          </w:tblCellMar>
        </w:tblPrEx>
        <w:trPr>
          <w:trHeight w:val="157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冻存管</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容量1.8-2ml，冷冻管，螺旋盖，管盖管体有多种颜色供选择，耐-80度。</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267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1.8/2ml冷冻管，PP材质，管盖管体有多种颜色供选择，刻度标识清晰书写方便，螺旋盖密封性好，耐超低温。</w:t>
            </w:r>
          </w:p>
        </w:tc>
      </w:tr>
      <w:tr>
        <w:tblPrEx>
          <w:tblCellMar>
            <w:top w:w="0" w:type="dxa"/>
            <w:left w:w="0" w:type="dxa"/>
            <w:bottom w:w="0" w:type="dxa"/>
            <w:right w:w="0" w:type="dxa"/>
          </w:tblCellMar>
        </w:tblPrEx>
        <w:trPr>
          <w:trHeight w:val="1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冻存盒</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适配前述冻存管，塑料材质。</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1.10*10，塑料冷冻管、冻存管盒，用于1.5/2.0ml冷冻管装取，多种规格供选择。</w:t>
            </w:r>
          </w:p>
        </w:tc>
      </w:tr>
      <w:tr>
        <w:tblPrEx>
          <w:tblCellMar>
            <w:top w:w="0" w:type="dxa"/>
            <w:left w:w="0" w:type="dxa"/>
            <w:bottom w:w="0" w:type="dxa"/>
            <w:right w:w="0" w:type="dxa"/>
          </w:tblCellMar>
        </w:tblPrEx>
        <w:trPr>
          <w:trHeight w:val="43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一次性使用无菌接种环</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微生物接种用，1ul、10ul分别报价。</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1ul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4000</w:t>
            </w:r>
          </w:p>
        </w:tc>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1.一次性使用、无菌、用于接种标本，规格要求1ul、10ul。</w:t>
            </w:r>
          </w:p>
        </w:tc>
      </w:tr>
      <w:tr>
        <w:tblPrEx>
          <w:tblCellMar>
            <w:top w:w="0" w:type="dxa"/>
            <w:left w:w="0" w:type="dxa"/>
            <w:bottom w:w="0" w:type="dxa"/>
            <w:right w:w="0" w:type="dxa"/>
          </w:tblCellMar>
        </w:tblPrEx>
        <w:trPr>
          <w:trHeight w:val="43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10ul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9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接种棒</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微生物接种棒</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1.微生物接种棒，支持夹取0.1-0.6mm接种针（环）。</w:t>
            </w:r>
          </w:p>
        </w:tc>
      </w:tr>
      <w:tr>
        <w:tblPrEx>
          <w:tblCellMar>
            <w:top w:w="0" w:type="dxa"/>
            <w:left w:w="0" w:type="dxa"/>
            <w:bottom w:w="0" w:type="dxa"/>
            <w:right w:w="0" w:type="dxa"/>
          </w:tblCellMar>
        </w:tblPrEx>
        <w:trPr>
          <w:trHeight w:val="7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接种针（环）</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微生物接种针，耐烧灼，长度5-7cm。</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1.镀铬合金，丝径0.5mm，长度5-7cm。</w:t>
            </w:r>
          </w:p>
        </w:tc>
      </w:tr>
      <w:tr>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酒精灯棉芯</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1.适配酒精灯。</w:t>
            </w:r>
          </w:p>
        </w:tc>
      </w:tr>
      <w:tr>
        <w:tblPrEx>
          <w:tblCellMar>
            <w:top w:w="0" w:type="dxa"/>
            <w:left w:w="0" w:type="dxa"/>
            <w:bottom w:w="0" w:type="dxa"/>
            <w:right w:w="0"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酒精灯</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1.适用于实验室、产品由玻璃制成，由棉质灯芯、阻燃灯塞、灯盖组成。</w:t>
            </w:r>
          </w:p>
        </w:tc>
      </w:tr>
      <w:tr>
        <w:tblPrEx>
          <w:tblCellMar>
            <w:top w:w="0" w:type="dxa"/>
            <w:left w:w="0" w:type="dxa"/>
            <w:bottom w:w="0" w:type="dxa"/>
            <w:right w:w="0" w:type="dxa"/>
          </w:tblCellMar>
        </w:tblPrEx>
        <w:trPr>
          <w:trHeight w:val="2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烧杯</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100ml、500ml、1000ml容量分别报价；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玻璃和塑料材质分别报价。</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玻璃</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1.玻璃和塑料材质，有100ml、500ml、1000ml容量等规格</w:t>
            </w: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塑料</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量筒</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100ml、500ml、1000ml容量分别报价；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玻璃和塑料材质分别报价。</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玻璃</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塑料</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量杯</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100ml、500ml、1000ml容量分别报价；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玻璃和塑料材质分别报价。</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玻璃</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塑料</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1449"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可调定量加液器</w:t>
            </w:r>
          </w:p>
        </w:tc>
        <w:tc>
          <w:tcPr>
            <w:tcW w:w="132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1ml、5ml、10ml规格分别报价。</w:t>
            </w:r>
          </w:p>
        </w:tc>
        <w:tc>
          <w:tcPr>
            <w:tcW w:w="93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1.有刻度可调</w:t>
            </w:r>
          </w:p>
        </w:tc>
      </w:tr>
      <w:tr>
        <w:tblPrEx>
          <w:tblCellMar>
            <w:top w:w="0" w:type="dxa"/>
            <w:left w:w="0" w:type="dxa"/>
            <w:bottom w:w="0" w:type="dxa"/>
            <w:right w:w="0" w:type="dxa"/>
          </w:tblCellMar>
        </w:tblPrEx>
        <w:trPr>
          <w:trHeight w:val="240" w:hRule="atLeast"/>
          <w:jc w:val="center"/>
        </w:trPr>
        <w:tc>
          <w:tcPr>
            <w:tcW w:w="66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1449"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移液管</w:t>
            </w:r>
          </w:p>
        </w:tc>
        <w:tc>
          <w:tcPr>
            <w:tcW w:w="132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玻璃材质，1ml、2ml、5ml、10ml规格分别报价。</w:t>
            </w:r>
          </w:p>
        </w:tc>
        <w:tc>
          <w:tcPr>
            <w:tcW w:w="93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1.玻璃材质，规格：5ml；10ml</w:t>
            </w: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44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18"/>
                <w:szCs w:val="18"/>
              </w:rPr>
            </w:pPr>
          </w:p>
        </w:tc>
        <w:tc>
          <w:tcPr>
            <w:tcW w:w="132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0"/>
                <w:szCs w:val="20"/>
              </w:rPr>
            </w:pPr>
          </w:p>
        </w:tc>
        <w:tc>
          <w:tcPr>
            <w:tcW w:w="93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10ml</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67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显微镜镜油</w:t>
            </w: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视野清晰，不使染料退色。</w:t>
            </w:r>
          </w:p>
        </w:tc>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ml</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1.粘度适中，视野清晰，不使染料退色</w:t>
            </w:r>
          </w:p>
        </w:tc>
      </w:tr>
    </w:tbl>
    <w:p>
      <w:pPr>
        <w:widowControl/>
        <w:numPr>
          <w:ilvl w:val="0"/>
          <w:numId w:val="0"/>
        </w:numPr>
        <w:shd w:val="clear" w:color="auto" w:fill="FFFFFF"/>
        <w:spacing w:line="400" w:lineRule="exact"/>
        <w:jc w:val="left"/>
        <w:rPr>
          <w:rFonts w:hint="eastAsia" w:ascii="仿宋" w:hAnsi="仿宋" w:eastAsia="仿宋" w:cs="Segoe UI"/>
          <w:b/>
          <w:color w:val="333333"/>
          <w:spacing w:val="8"/>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1.年度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44.6万</w:t>
      </w:r>
      <w:r>
        <w:rPr>
          <w:rFonts w:hint="eastAsia" w:ascii="仿宋" w:hAnsi="仿宋" w:eastAsia="仿宋" w:cs="宋体"/>
          <w:color w:val="000000"/>
          <w:kern w:val="0"/>
          <w:sz w:val="28"/>
          <w:szCs w:val="28"/>
        </w:rPr>
        <w:t>元</w:t>
      </w:r>
      <w:r>
        <w:rPr>
          <w:rFonts w:hint="eastAsia" w:ascii="仿宋" w:hAnsi="仿宋" w:eastAsia="仿宋" w:cs="宋体"/>
          <w:color w:val="000000"/>
          <w:kern w:val="0"/>
          <w:sz w:val="28"/>
          <w:szCs w:val="28"/>
          <w:lang w:val="en-US" w:eastAsia="zh-CN"/>
        </w:rPr>
        <w:t>/年</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宋体"/>
          <w:color w:val="000000"/>
          <w:kern w:val="0"/>
          <w:sz w:val="28"/>
          <w:szCs w:val="28"/>
          <w:lang w:val="en-US" w:eastAsia="zh-CN"/>
        </w:rPr>
        <w:t>2.供货期限：3年。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1.投标供应商应具备以上全部产品的供货资质，资质不全或缺少报价则视为不响应；</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投标产品属于国家医疗保障局发布的《医保医用耗材分类与代码》目录且具有医疗器械注册证的全部医用耗材（不含一类医疗器械）的，必须为四川省药械集中采购及医药价格监管平台挂网产品，并提供产品挂网商品代码。为本次采购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3.若产品有多种规格型号且价格不同，投标人应将所有型号分项报价。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Segoe UI"/>
          <w:b/>
          <w:bCs/>
          <w:color w:val="333333"/>
          <w:kern w:val="0"/>
          <w:sz w:val="28"/>
          <w:szCs w:val="28"/>
        </w:rPr>
      </w:pPr>
      <w:r>
        <w:rPr>
          <w:rFonts w:hint="eastAsia" w:ascii="仿宋" w:hAnsi="仿宋" w:eastAsia="仿宋" w:cs="宋体"/>
          <w:color w:val="000000"/>
          <w:kern w:val="0"/>
          <w:sz w:val="28"/>
          <w:szCs w:val="28"/>
          <w:lang w:val="en-US" w:eastAsia="zh-CN"/>
        </w:rPr>
        <w:t>1.产品年度预计使用量供投标人参考，只作为报价测算依据，不做其它用途使用。</w:t>
      </w:r>
    </w:p>
    <w:p>
      <w:pPr>
        <w:widowControl/>
        <w:jc w:val="left"/>
        <w:rPr>
          <w:rFonts w:hint="eastAsia"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：评审办法（评分明细表）</w:t>
      </w:r>
    </w:p>
    <w:tbl>
      <w:tblPr>
        <w:tblStyle w:val="6"/>
        <w:tblpPr w:leftFromText="180" w:rightFromText="180" w:vertAnchor="text" w:horzAnchor="page" w:tblpX="855" w:tblpY="614"/>
        <w:tblOverlap w:val="never"/>
        <w:tblW w:w="62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574"/>
        <w:gridCol w:w="1084"/>
        <w:gridCol w:w="730"/>
        <w:gridCol w:w="4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90" w:type="pct"/>
            <w:vMerge w:val="restart"/>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hint="eastAsia" w:cs="宋体"/>
                <w:color w:val="000000"/>
                <w:kern w:val="0"/>
              </w:rPr>
            </w:pPr>
            <w:r>
              <w:rPr>
                <w:rFonts w:hint="eastAsia" w:cs="宋体"/>
                <w:color w:val="000000"/>
                <w:kern w:val="0"/>
              </w:rPr>
              <w:t>细则</w:t>
            </w:r>
          </w:p>
        </w:tc>
        <w:tc>
          <w:tcPr>
            <w:tcW w:w="271"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11"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303"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17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0" w:type="pct"/>
            <w:vMerge w:val="continue"/>
            <w:noWrap w:val="0"/>
            <w:vAlign w:val="center"/>
          </w:tcPr>
          <w:p>
            <w:pPr>
              <w:spacing w:line="420" w:lineRule="exact"/>
              <w:jc w:val="center"/>
              <w:rPr>
                <w:rFonts w:hint="eastAsia" w:cs="宋体"/>
                <w:color w:val="000000"/>
                <w:kern w:val="0"/>
              </w:rPr>
            </w:pPr>
          </w:p>
        </w:tc>
        <w:tc>
          <w:tcPr>
            <w:tcW w:w="271"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11"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1.价格分：</w:t>
            </w:r>
          </w:p>
          <w:p>
            <w:pPr>
              <w:widowControl/>
              <w:wordWrap w:val="0"/>
              <w:spacing w:line="270" w:lineRule="atLeast"/>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响应材料满足磋商文件要求且以响应总价最低的为评审基准价，其价格分为</w:t>
            </w:r>
            <w:r>
              <w:rPr>
                <w:rFonts w:hint="eastAsia" w:ascii="宋体" w:hAnsi="宋体" w:eastAsia="宋体" w:cs="宋体"/>
                <w:color w:val="000000"/>
                <w:kern w:val="0"/>
                <w:sz w:val="18"/>
                <w:szCs w:val="18"/>
                <w:highlight w:val="none"/>
                <w:lang w:val="en-US" w:eastAsia="zh-CN"/>
              </w:rPr>
              <w:t>30</w:t>
            </w:r>
            <w:r>
              <w:rPr>
                <w:rFonts w:hint="eastAsia" w:ascii="宋体" w:hAnsi="宋体" w:eastAsia="宋体" w:cs="宋体"/>
                <w:color w:val="000000"/>
                <w:kern w:val="0"/>
                <w:sz w:val="18"/>
                <w:szCs w:val="18"/>
                <w:highlight w:val="none"/>
              </w:rPr>
              <w:t>分。其他供应商的价格分统一按照以下公式计算：价格分=(评审基准价／响应总价)×</w:t>
            </w:r>
            <w:r>
              <w:rPr>
                <w:rFonts w:hint="eastAsia" w:ascii="宋体" w:hAnsi="宋体" w:eastAsia="宋体" w:cs="宋体"/>
                <w:color w:val="000000"/>
                <w:kern w:val="0"/>
                <w:sz w:val="18"/>
                <w:szCs w:val="18"/>
                <w:highlight w:val="none"/>
                <w:lang w:val="en-US" w:eastAsia="zh-CN"/>
              </w:rPr>
              <w:t>30</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2.响应总价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响应总价=各项材料响应单价*预估年度用量之和</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1.若同种产品有多种规格型号且涉及不同报价，供应商应全部报价；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2.响应单价为多种规格型号报价的平均价。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0" w:type="pct"/>
            <w:vMerge w:val="continue"/>
            <w:noWrap w:val="0"/>
            <w:vAlign w:val="center"/>
          </w:tcPr>
          <w:p>
            <w:pPr>
              <w:spacing w:line="420" w:lineRule="exact"/>
              <w:jc w:val="center"/>
              <w:rPr>
                <w:rFonts w:hint="eastAsia" w:cs="宋体"/>
                <w:color w:val="000000"/>
                <w:kern w:val="0"/>
              </w:rPr>
            </w:pPr>
          </w:p>
        </w:tc>
        <w:tc>
          <w:tcPr>
            <w:tcW w:w="271"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1"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41</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41分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完全符合磋商文件技术参数要求得</w:t>
            </w:r>
            <w:r>
              <w:rPr>
                <w:rFonts w:hint="eastAsia" w:ascii="宋体" w:hAnsi="宋体" w:eastAsia="宋体" w:cs="宋体"/>
                <w:color w:val="000000"/>
                <w:kern w:val="0"/>
                <w:sz w:val="18"/>
                <w:szCs w:val="18"/>
                <w:highlight w:val="none"/>
                <w:lang w:val="en-US" w:eastAsia="zh-CN"/>
              </w:rPr>
              <w:t>41</w:t>
            </w:r>
            <w:r>
              <w:rPr>
                <w:rFonts w:hint="eastAsia" w:ascii="宋体" w:hAnsi="宋体" w:eastAsia="宋体" w:cs="宋体"/>
                <w:color w:val="000000"/>
                <w:kern w:val="0"/>
                <w:sz w:val="18"/>
                <w:szCs w:val="18"/>
                <w:highlight w:val="none"/>
              </w:rPr>
              <w:t>分。</w:t>
            </w:r>
            <w:r>
              <w:rPr>
                <w:rFonts w:hint="eastAsia" w:ascii="宋体" w:hAnsi="宋体" w:eastAsia="宋体" w:cs="宋体"/>
                <w:color w:val="000000"/>
                <w:kern w:val="0"/>
                <w:sz w:val="18"/>
                <w:szCs w:val="18"/>
                <w:highlight w:val="none"/>
                <w:lang w:val="en-US" w:eastAsia="zh-CN"/>
              </w:rPr>
              <w:t>技术参数</w:t>
            </w:r>
            <w:r>
              <w:rPr>
                <w:rFonts w:hint="eastAsia" w:ascii="宋体" w:hAnsi="宋体" w:eastAsia="宋体" w:cs="宋体"/>
                <w:color w:val="000000"/>
                <w:kern w:val="0"/>
                <w:sz w:val="18"/>
                <w:szCs w:val="18"/>
                <w:highlight w:val="none"/>
              </w:rPr>
              <w:t>条款负偏离一项扣</w:t>
            </w:r>
            <w:r>
              <w:rPr>
                <w:rFonts w:hint="eastAsia" w:ascii="宋体" w:hAnsi="宋体" w:eastAsia="宋体" w:cs="宋体"/>
                <w:color w:val="000000"/>
                <w:kern w:val="0"/>
                <w:sz w:val="18"/>
                <w:szCs w:val="18"/>
                <w:highlight w:val="none"/>
                <w:lang w:val="en-US" w:eastAsia="zh-CN"/>
              </w:rPr>
              <w:t>1</w:t>
            </w:r>
            <w:r>
              <w:rPr>
                <w:rFonts w:hint="eastAsia" w:ascii="宋体" w:hAnsi="宋体" w:eastAsia="宋体" w:cs="宋体"/>
                <w:color w:val="000000"/>
                <w:kern w:val="0"/>
                <w:sz w:val="18"/>
                <w:szCs w:val="18"/>
                <w:highlight w:val="none"/>
              </w:rPr>
              <w:t>分，扣完为止。（</w:t>
            </w:r>
            <w:r>
              <w:rPr>
                <w:rFonts w:hint="eastAsia" w:ascii="宋体" w:hAnsi="宋体" w:eastAsia="宋体" w:cs="宋体"/>
                <w:color w:val="000000"/>
                <w:kern w:val="0"/>
                <w:sz w:val="18"/>
                <w:szCs w:val="18"/>
                <w:highlight w:val="none"/>
                <w:lang w:val="en-US" w:eastAsia="zh-CN"/>
              </w:rPr>
              <w:t>技术</w:t>
            </w:r>
            <w:r>
              <w:rPr>
                <w:rFonts w:hint="eastAsia" w:ascii="宋体" w:hAnsi="宋体" w:eastAsia="宋体" w:cs="宋体"/>
                <w:color w:val="000000"/>
                <w:kern w:val="0"/>
                <w:sz w:val="18"/>
                <w:szCs w:val="18"/>
                <w:highlight w:val="none"/>
              </w:rPr>
              <w:t>条款共</w:t>
            </w:r>
            <w:r>
              <w:rPr>
                <w:rFonts w:hint="eastAsia" w:ascii="宋体" w:hAnsi="宋体" w:eastAsia="宋体" w:cs="宋体"/>
                <w:color w:val="000000"/>
                <w:kern w:val="0"/>
                <w:sz w:val="18"/>
                <w:szCs w:val="18"/>
                <w:highlight w:val="none"/>
                <w:lang w:val="en-US" w:eastAsia="zh-CN"/>
              </w:rPr>
              <w:t>41</w:t>
            </w:r>
            <w:r>
              <w:rPr>
                <w:rFonts w:hint="eastAsia" w:ascii="宋体" w:hAnsi="宋体" w:eastAsia="宋体" w:cs="宋体"/>
                <w:color w:val="000000"/>
                <w:kern w:val="0"/>
                <w:sz w:val="18"/>
                <w:szCs w:val="18"/>
                <w:highlight w:val="none"/>
              </w:rPr>
              <w:t>项）。</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r>
              <w:rPr>
                <w:rFonts w:hint="eastAsia" w:ascii="宋体" w:hAnsi="宋体" w:eastAsia="宋体" w:cs="宋体"/>
                <w:color w:val="000000"/>
                <w:kern w:val="0"/>
                <w:sz w:val="18"/>
                <w:szCs w:val="18"/>
                <w:highlight w:val="none"/>
                <w:lang w:val="en-US" w:eastAsia="zh-CN"/>
              </w:rPr>
              <w:t>如产品为医疗器械，</w:t>
            </w:r>
            <w:r>
              <w:rPr>
                <w:rFonts w:hint="eastAsia" w:ascii="宋体" w:hAnsi="宋体" w:eastAsia="宋体" w:cs="宋体"/>
                <w:color w:val="000000"/>
                <w:kern w:val="0"/>
                <w:sz w:val="18"/>
                <w:szCs w:val="18"/>
                <w:highlight w:val="none"/>
              </w:rPr>
              <w:t>技术条款需提供所响应产品说明书作为证明文件。</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（2）如技术指标在响应文件中未对应出现或在响应文件中存在自相矛盾之处或未提供的不得分。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0" w:type="pct"/>
            <w:vMerge w:val="continue"/>
            <w:noWrap w:val="0"/>
            <w:vAlign w:val="center"/>
          </w:tcPr>
          <w:p>
            <w:pPr>
              <w:spacing w:line="420" w:lineRule="exact"/>
              <w:jc w:val="center"/>
              <w:rPr>
                <w:rFonts w:hint="eastAsia" w:cs="宋体"/>
                <w:color w:val="000000"/>
                <w:kern w:val="0"/>
              </w:rPr>
            </w:pPr>
          </w:p>
        </w:tc>
        <w:tc>
          <w:tcPr>
            <w:tcW w:w="271"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11"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投标人能力</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提供响应产品2020年1月1日以来国内三甲医疗机构业绩证明，每提供1个业绩得1分，最多得10分。</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注：提供销售采购合同或中标通知书或发票复印件加盖投标人公章。非三甲医疗机构业绩证明请勿提供。</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注：需提供合同复印件或发票复印件（若发票复印件上无产品明细则需附销货清单）作为得分依据。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0" w:type="pct"/>
            <w:vMerge w:val="continue"/>
            <w:noWrap w:val="0"/>
            <w:vAlign w:val="center"/>
          </w:tcPr>
          <w:p>
            <w:pPr>
              <w:spacing w:line="420" w:lineRule="exact"/>
              <w:jc w:val="center"/>
              <w:rPr>
                <w:rFonts w:hint="eastAsia" w:cs="宋体"/>
                <w:color w:val="000000"/>
                <w:kern w:val="0"/>
              </w:rPr>
            </w:pPr>
          </w:p>
        </w:tc>
        <w:tc>
          <w:tcPr>
            <w:tcW w:w="271" w:type="pct"/>
            <w:noWrap w:val="0"/>
            <w:vAlign w:val="center"/>
          </w:tcPr>
          <w:p>
            <w:pPr>
              <w:adjustRightInd w:val="0"/>
              <w:spacing w:line="400" w:lineRule="exact"/>
              <w:ind w:firstLine="180" w:firstLineChars="100"/>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w:t>
            </w:r>
          </w:p>
        </w:tc>
        <w:tc>
          <w:tcPr>
            <w:tcW w:w="511"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样品评分</w:t>
            </w:r>
          </w:p>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344"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12</w:t>
            </w:r>
            <w:r>
              <w:rPr>
                <w:rFonts w:hint="eastAsia" w:ascii="宋体" w:hAnsi="宋体" w:eastAsia="宋体" w:cs="宋体"/>
                <w:color w:val="000000"/>
                <w:kern w:val="0"/>
                <w:sz w:val="18"/>
                <w:szCs w:val="18"/>
                <w:highlight w:val="none"/>
                <w:lang w:val="en-US" w:eastAsia="zh-CN"/>
              </w:rPr>
              <w:t>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根据响应产品样品，从样品的外观、材质、性能3个方面进行评价，每有1个方面不符合临床需求的扣4分，扣完为止。未提供样品的不得分。</w:t>
            </w:r>
          </w:p>
        </w:tc>
        <w:tc>
          <w:tcPr>
            <w:tcW w:w="1178" w:type="pct"/>
            <w:noWrap w:val="0"/>
            <w:vAlign w:val="center"/>
          </w:tcPr>
          <w:p>
            <w:pPr>
              <w:widowControl/>
              <w:numPr>
                <w:ilvl w:val="0"/>
                <w:numId w:val="0"/>
              </w:numPr>
              <w:wordWrap w:val="0"/>
              <w:spacing w:line="270" w:lineRule="atLeast"/>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1.提供的产品样品至少包含普通吸嘴、滤芯吸嘴、96孔U型板、女性生殖道采样拭子、男性尿道采样拭子、尿沉渣试管、普通离心管（0.5ml、1.5ml）、离心管（无热源无DNA/RNA）、载玻片、一次性细胞计数板产品。</w:t>
            </w:r>
          </w:p>
          <w:p>
            <w:pPr>
              <w:widowControl/>
              <w:numPr>
                <w:ilvl w:val="0"/>
                <w:numId w:val="0"/>
              </w:numPr>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样品的供应商名称或生产厂家名称或品牌等字样及图案遮挡不全不得分。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90" w:type="pct"/>
            <w:vMerge w:val="continue"/>
            <w:noWrap w:val="0"/>
            <w:vAlign w:val="center"/>
          </w:tcPr>
          <w:p>
            <w:pPr>
              <w:spacing w:line="420" w:lineRule="exact"/>
              <w:jc w:val="center"/>
              <w:rPr>
                <w:rFonts w:hint="eastAsia" w:cs="宋体"/>
                <w:color w:val="000000"/>
                <w:kern w:val="0"/>
              </w:rPr>
            </w:pPr>
          </w:p>
        </w:tc>
        <w:tc>
          <w:tcPr>
            <w:tcW w:w="271" w:type="pct"/>
            <w:vMerge w:val="restart"/>
            <w:noWrap w:val="0"/>
            <w:vAlign w:val="center"/>
          </w:tcPr>
          <w:p>
            <w:pPr>
              <w:adjustRightInd w:val="0"/>
              <w:spacing w:line="400" w:lineRule="exact"/>
              <w:ind w:firstLine="180" w:firstLineChars="100"/>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511" w:type="pct"/>
            <w:vMerge w:val="restar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p>
        </w:tc>
        <w:tc>
          <w:tcPr>
            <w:tcW w:w="34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分</w:t>
            </w:r>
          </w:p>
        </w:tc>
        <w:tc>
          <w:tcPr>
            <w:tcW w:w="2303"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根据供应商提供的售后服务方案，包含：①售后服务承诺；②技术支持；③缺货应急方案；④服务响应四个方面进行评审，四方面提供完整且描述详细，符合本项目实际情况、有利于项目实施的得</w:t>
            </w:r>
            <w:r>
              <w:rPr>
                <w:rFonts w:hint="eastAsia" w:ascii="宋体" w:hAnsi="宋体" w:eastAsia="宋体" w:cs="宋体"/>
                <w:color w:val="000000"/>
                <w:kern w:val="0"/>
                <w:sz w:val="18"/>
                <w:szCs w:val="18"/>
                <w:highlight w:val="none"/>
                <w:lang w:val="en-US" w:eastAsia="zh-CN"/>
              </w:rPr>
              <w:t>6</w:t>
            </w:r>
            <w:r>
              <w:rPr>
                <w:rFonts w:hint="eastAsia" w:ascii="宋体" w:hAnsi="宋体" w:eastAsia="宋体" w:cs="宋体"/>
                <w:color w:val="000000"/>
                <w:kern w:val="0"/>
                <w:sz w:val="18"/>
                <w:szCs w:val="18"/>
                <w:highlight w:val="none"/>
              </w:rPr>
              <w:t>分；每缺少一项或提供的方案与本项目无关的扣</w:t>
            </w:r>
            <w:r>
              <w:rPr>
                <w:rFonts w:hint="eastAsia" w:ascii="宋体" w:hAnsi="宋体" w:eastAsia="宋体" w:cs="宋体"/>
                <w:color w:val="000000"/>
                <w:kern w:val="0"/>
                <w:sz w:val="18"/>
                <w:szCs w:val="18"/>
                <w:highlight w:val="none"/>
                <w:lang w:val="en-US" w:eastAsia="zh-CN"/>
              </w:rPr>
              <w:t>1.5</w:t>
            </w:r>
            <w:r>
              <w:rPr>
                <w:rFonts w:hint="eastAsia" w:ascii="宋体" w:hAnsi="宋体" w:eastAsia="宋体" w:cs="宋体"/>
                <w:color w:val="000000"/>
                <w:kern w:val="0"/>
                <w:sz w:val="18"/>
                <w:szCs w:val="18"/>
                <w:highlight w:val="none"/>
              </w:rPr>
              <w:t>分；每有一项存在缺陷或漏洞的，且不利于项目实施的扣</w:t>
            </w:r>
            <w:r>
              <w:rPr>
                <w:rFonts w:hint="eastAsia" w:ascii="宋体" w:hAnsi="宋体" w:eastAsia="宋体" w:cs="宋体"/>
                <w:color w:val="000000"/>
                <w:kern w:val="0"/>
                <w:sz w:val="18"/>
                <w:szCs w:val="18"/>
                <w:highlight w:val="none"/>
                <w:lang w:val="en-US" w:eastAsia="zh-CN"/>
              </w:rPr>
              <w:t>1</w:t>
            </w:r>
            <w:r>
              <w:rPr>
                <w:rFonts w:hint="eastAsia" w:ascii="宋体" w:hAnsi="宋体" w:eastAsia="宋体" w:cs="宋体"/>
                <w:color w:val="000000"/>
                <w:kern w:val="0"/>
                <w:sz w:val="18"/>
                <w:szCs w:val="18"/>
                <w:highlight w:val="none"/>
              </w:rPr>
              <w:t xml:space="preserve">分，分值扣完为止。 </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90" w:type="pct"/>
            <w:vMerge w:val="continue"/>
            <w:noWrap w:val="0"/>
            <w:vAlign w:val="center"/>
          </w:tcPr>
          <w:p>
            <w:pPr>
              <w:spacing w:line="420" w:lineRule="exact"/>
              <w:jc w:val="center"/>
              <w:rPr>
                <w:rFonts w:hint="eastAsia" w:cs="宋体"/>
                <w:color w:val="000000"/>
                <w:kern w:val="0"/>
              </w:rPr>
            </w:pPr>
          </w:p>
        </w:tc>
        <w:tc>
          <w:tcPr>
            <w:tcW w:w="271" w:type="pct"/>
            <w:vMerge w:val="continue"/>
            <w:noWrap w:val="0"/>
            <w:vAlign w:val="center"/>
          </w:tcPr>
          <w:p>
            <w:pPr>
              <w:adjustRightInd w:val="0"/>
              <w:spacing w:line="400" w:lineRule="exact"/>
              <w:jc w:val="left"/>
              <w:rPr>
                <w:rFonts w:hint="eastAsia" w:ascii="宋体" w:hAnsi="宋体" w:cs="宋体"/>
                <w:color w:val="000000"/>
                <w:kern w:val="0"/>
                <w:sz w:val="18"/>
                <w:szCs w:val="18"/>
              </w:rPr>
            </w:pPr>
          </w:p>
        </w:tc>
        <w:tc>
          <w:tcPr>
            <w:tcW w:w="511" w:type="pct"/>
            <w:vMerge w:val="continue"/>
            <w:noWrap w:val="0"/>
            <w:vAlign w:val="center"/>
          </w:tcPr>
          <w:p>
            <w:pPr>
              <w:adjustRightInd w:val="0"/>
              <w:spacing w:line="400" w:lineRule="exact"/>
              <w:jc w:val="left"/>
              <w:rPr>
                <w:rFonts w:hint="eastAsia" w:ascii="宋体" w:hAnsi="宋体" w:cs="宋体"/>
                <w:color w:val="000000"/>
                <w:kern w:val="0"/>
                <w:sz w:val="18"/>
                <w:szCs w:val="18"/>
              </w:rPr>
            </w:pPr>
          </w:p>
        </w:tc>
        <w:tc>
          <w:tcPr>
            <w:tcW w:w="34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w:t>
            </w:r>
          </w:p>
        </w:tc>
        <w:tc>
          <w:tcPr>
            <w:tcW w:w="2303" w:type="pct"/>
            <w:noWrap w:val="0"/>
            <w:vAlign w:val="top"/>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供应商在成都设有办事处或分公司或常驻维修机构或提供承诺函承诺成交后在成都设立办事处、分公司或常驻维修机构得1分；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bl>
    <w:p>
      <w:pPr>
        <w:widowControl/>
        <w:jc w:val="left"/>
        <w:rPr>
          <w:rFonts w:hint="eastAsia"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tbl>
      <w:tblPr>
        <w:tblStyle w:val="6"/>
        <w:tblW w:w="84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5"/>
        <w:gridCol w:w="1263"/>
        <w:gridCol w:w="1156"/>
        <w:gridCol w:w="817"/>
        <w:gridCol w:w="419"/>
        <w:gridCol w:w="647"/>
        <w:gridCol w:w="886"/>
        <w:gridCol w:w="886"/>
        <w:gridCol w:w="886"/>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产品说明</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计价单位</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需求规格</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年用量</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单价</w:t>
            </w: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（元）</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成交总价（元）</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挂网商品代码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普通吸嘴（散装）</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用于标本或试剂等的移液转移。</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滤芯吸嘴（盒装和散装）</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盒装</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散装</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1000ul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吸咀盒</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用于盛装吸嘴，适配前述各规格吸嘴。</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PCR反应管</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适用于荧光定量PCR仪。</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单个</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1"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8联</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96孔U型板</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适用于富士公司肺炎支原体抗体检验测试剂（SERODIA-MYCO II）、梅毒螺旋体抗体检测试剂盒（SERODIA-TPPA）的96孔反应板。</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一次性使用无菌拭子</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女性生殖道采样拭子和男性尿道采样拭子，咽拭子、鼻咽拭子分别报价。</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女性生殖道采样拭子</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108600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男性尿道采样拭子</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咽拭子</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鼻咽拭子</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一次性使用便杯（临检）</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容量≥40ml左右，带盖。</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139760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7"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一次性使用微量采血吸管</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用于临床采集或转移末梢血。20ul、40ul两种规格分别报价</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20ul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6"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40ul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9"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尿沉渣试管</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用于尿液沉渣离心后有形成分镜检分析。</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普通离心管</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0.2ml、0.5ml、1.5ml、15ml、20ml等规格分别报价；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无菌和非无菌包装的分别报价。</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无菌</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非无菌</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0.2ml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0.5ml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20ml</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0"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离心管（无热源无DNA/RNA）</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1.5ml，分子专用，离心、提取</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塑料吸管</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0.5ml、1ml、3ml等规格分别报价。</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590"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9"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一次性使用塑料样品杯</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适配日立生化分析仪，16mm*38mm。</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塑料试管</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用于生化免疫实验。软质、硬质分别报价。</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软质</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硬质</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8"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载玻片</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适用于血液体液细胞学和微生物学使用的普通玻片、以及血细胞推片机使用的玻片。</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4"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一次性细胞计数板</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用于体液细胞计数。规格:10计数区/片；计数区尺寸 :9mm*9mm*0.1mm。</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4"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一次性无菌痰杯</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主要用于痰液等无菌体体液标本的盛装、量取或保存。</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24"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冻存管</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容量1.8-2ml，冷冻管，螺旋盖，管盖管体有多种颜色供选择，耐-80度。</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1"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冻存盒</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适配前述冻存管，塑料材质。</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一次性使用无菌接种环</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微生物接种用，1ul、10ul分别报价。</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1ul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2"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10ul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3"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接种棒</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微生物接种棒</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接种针（环）</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微生物接种针，耐烧灼，长度5-7cm。</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酒精灯棉芯</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8"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酒精灯</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烧杯</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100ml、500ml、1000ml容量分别报价；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玻璃和塑料材质分别报价。</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量筒</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100ml、500ml、1000ml容量分别报价；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玻璃和塑料材质分别报价。</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量杯</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100ml、500ml、1000ml容量分别报价；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玻璃和塑料材质分别报价。</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57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6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可调定量加液器</w:t>
            </w:r>
          </w:p>
        </w:tc>
        <w:tc>
          <w:tcPr>
            <w:tcW w:w="115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1ml、5ml、10ml规格分别报价。</w:t>
            </w:r>
          </w:p>
        </w:tc>
        <w:tc>
          <w:tcPr>
            <w:tcW w:w="81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7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7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57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63"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移液管</w:t>
            </w:r>
          </w:p>
        </w:tc>
        <w:tc>
          <w:tcPr>
            <w:tcW w:w="115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玻璃材质，1ml、2ml、5ml、10ml规格分别报价。</w:t>
            </w:r>
          </w:p>
        </w:tc>
        <w:tc>
          <w:tcPr>
            <w:tcW w:w="81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5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5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 w:hRule="atLeast"/>
          <w:jc w:val="center"/>
        </w:trPr>
        <w:tc>
          <w:tcPr>
            <w:tcW w:w="57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0"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显微镜镜油</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视野清晰，不使染料退色。</w:t>
            </w:r>
          </w:p>
        </w:tc>
        <w:tc>
          <w:tcPr>
            <w:tcW w:w="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ml</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合计总价</w:t>
            </w:r>
          </w:p>
        </w:tc>
        <w:tc>
          <w:tcPr>
            <w:tcW w:w="6583"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numPr>
          <w:ilvl w:val="0"/>
          <w:numId w:val="2"/>
        </w:numPr>
        <w:shd w:val="clear" w:color="auto" w:fill="FFFFFF"/>
        <w:wordWrap w:val="0"/>
        <w:jc w:val="left"/>
        <w:rPr>
          <w:rFonts w:hint="eastAsia" w:ascii="仿宋_GB2312" w:hAnsi="Segoe UI" w:eastAsia="仿宋_GB2312" w:cs="Segoe UI"/>
          <w:b/>
          <w:bCs/>
          <w:color w:val="FF0000"/>
          <w:kern w:val="0"/>
          <w:sz w:val="24"/>
          <w:szCs w:val="24"/>
          <w:lang w:val="en-US" w:eastAsia="zh-CN"/>
        </w:rPr>
      </w:pPr>
      <w:r>
        <w:rPr>
          <w:rFonts w:hint="eastAsia" w:ascii="仿宋_GB2312" w:hAnsi="Segoe UI" w:eastAsia="仿宋_GB2312" w:cs="Segoe UI"/>
          <w:b/>
          <w:bCs/>
          <w:color w:val="FF0000"/>
          <w:kern w:val="0"/>
          <w:sz w:val="24"/>
          <w:szCs w:val="24"/>
          <w:lang w:val="en-US" w:eastAsia="zh-CN"/>
        </w:rPr>
        <w:t>采购会议磋商时，供应商需携带U盘，提供报价表电子版。</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报价应是最终用户验收合格后的总价，包括设备运输、保险、代理、安装调试、培训、税费、系统集成费用和采购文件规定的其它费用。</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“序号”，按照各产品技术参数对应的序号填写。</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“品目及报价表”为多页的，每页均需由法定代表人或授权代表签字并盖投标人印章。</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“品目及报价表”需单独密封。</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color w:val="333333"/>
          <w:kern w:val="0"/>
          <w:sz w:val="24"/>
          <w:szCs w:val="24"/>
        </w:rPr>
        <w:t>如有配套耗材，请参照此表报价。</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hint="default" w:ascii="长城小标宋体" w:hAnsi="仿宋" w:eastAsia="长城小标宋体"/>
          <w:b/>
          <w:bCs/>
          <w:color w:val="000000" w:themeColor="text1"/>
          <w:sz w:val="36"/>
          <w:szCs w:val="36"/>
        </w:rPr>
      </w:pPr>
      <w:r>
        <w:rPr>
          <w:rFonts w:hint="eastAsia" w:ascii="长城小标宋体" w:hAnsi="仿宋" w:eastAsia="长城小标宋体"/>
          <w:color w:val="000000" w:themeColor="text1"/>
          <w:sz w:val="28"/>
          <w:szCs w:val="22"/>
        </w:rPr>
        <w:t xml:space="preserve"> </w:t>
      </w:r>
      <w:r>
        <w:rPr>
          <w:rFonts w:hint="eastAsia" w:ascii="长城小标宋体" w:hAnsi="仿宋" w:eastAsia="长城小标宋体"/>
          <w:b/>
          <w:bCs/>
          <w:color w:val="000000" w:themeColor="text1"/>
          <w:sz w:val="36"/>
          <w:szCs w:val="36"/>
        </w:rPr>
        <w:t>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w:t>
      </w:r>
      <w:bookmarkStart w:id="1" w:name="_GoBack"/>
      <w:bookmarkEnd w:id="1"/>
      <w:r>
        <w:rPr>
          <w:rFonts w:hint="eastAsia" w:ascii="仿宋" w:hAnsi="仿宋" w:eastAsia="仿宋" w:cs="Segoe UI"/>
          <w:color w:val="333333"/>
          <w:kern w:val="0"/>
          <w:sz w:val="24"/>
          <w:szCs w:val="24"/>
        </w:rPr>
        <w:t>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r>
        <w:rPr>
          <w:rFonts w:hint="eastAsia" w:ascii="微软雅黑" w:hAnsi="微软雅黑" w:eastAsia="微软雅黑" w:cs="Segoe UI"/>
          <w:bCs/>
          <w:color w:val="333333"/>
          <w:kern w:val="0"/>
          <w:sz w:val="28"/>
          <w:szCs w:val="28"/>
        </w:rPr>
        <w:t>：</w:t>
      </w:r>
    </w:p>
    <w:p>
      <w:pPr>
        <w:pStyle w:val="2"/>
        <w:jc w:val="center"/>
        <w:rPr>
          <w:rFonts w:hint="default" w:ascii="长城小标宋体" w:hAnsi="仿宋" w:eastAsia="长城小标宋体"/>
          <w:b/>
          <w:bCs/>
          <w:color w:val="000000" w:themeColor="text1"/>
          <w:sz w:val="36"/>
          <w:szCs w:val="36"/>
        </w:rPr>
      </w:pPr>
      <w:r>
        <w:rPr>
          <w:rFonts w:hint="default" w:ascii="长城小标宋体" w:hAnsi="仿宋" w:eastAsia="长城小标宋体"/>
          <w:b/>
          <w:bCs/>
          <w:color w:val="000000" w:themeColor="text1"/>
          <w:sz w:val="36"/>
          <w:szCs w:val="36"/>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A8A"/>
    <w:multiLevelType w:val="singleLevel"/>
    <w:tmpl w:val="0BB43A8A"/>
    <w:lvl w:ilvl="0" w:tentative="0">
      <w:start w:val="1"/>
      <w:numFmt w:val="chineseCounting"/>
      <w:suff w:val="nothing"/>
      <w:lvlText w:val="（%1）"/>
      <w:lvlJc w:val="left"/>
      <w:rPr>
        <w:rFonts w:hint="eastAsia"/>
      </w:rPr>
    </w:lvl>
  </w:abstractNum>
  <w:abstractNum w:abstractNumId="1">
    <w:nsid w:val="795CA05F"/>
    <w:multiLevelType w:val="singleLevel"/>
    <w:tmpl w:val="795CA05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D2481D"/>
    <w:rsid w:val="09883DB3"/>
    <w:rsid w:val="12C40D67"/>
    <w:rsid w:val="14DC0F1A"/>
    <w:rsid w:val="15B626DC"/>
    <w:rsid w:val="1A707F41"/>
    <w:rsid w:val="1C976D54"/>
    <w:rsid w:val="1DE05766"/>
    <w:rsid w:val="1E997E27"/>
    <w:rsid w:val="22827069"/>
    <w:rsid w:val="25933A00"/>
    <w:rsid w:val="2ACE5E86"/>
    <w:rsid w:val="33875D6B"/>
    <w:rsid w:val="35E40AE0"/>
    <w:rsid w:val="395149AF"/>
    <w:rsid w:val="3A694155"/>
    <w:rsid w:val="3C245962"/>
    <w:rsid w:val="3DA970F6"/>
    <w:rsid w:val="3DE462AE"/>
    <w:rsid w:val="43DD0089"/>
    <w:rsid w:val="5C4B0A19"/>
    <w:rsid w:val="63D266D5"/>
    <w:rsid w:val="70641CCB"/>
    <w:rsid w:val="719548CE"/>
    <w:rsid w:val="734A410E"/>
    <w:rsid w:val="73F9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after="120"/>
    </w:pPr>
    <w:rPr>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1</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2023-02-22T03:18:00Z</cp:lastPrinted>
  <dcterms:modified xsi:type="dcterms:W3CDTF">2023-05-04T08:10:05Z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