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spacing w:line="560" w:lineRule="exact"/>
        <w:ind w:firstLine="0" w:firstLineChars="0"/>
        <w:jc w:val="center"/>
        <w:rPr>
          <w:rFonts w:ascii="华光小标宋_CNKI" w:hAnsi="华光小标宋_CNKI" w:eastAsia="华光小标宋_CNKI"/>
          <w:color w:val="000000"/>
          <w:sz w:val="32"/>
          <w:szCs w:val="32"/>
        </w:rPr>
      </w:pPr>
      <w:r>
        <w:rPr>
          <w:rFonts w:hint="eastAsia" w:ascii="华光小标宋_CNKI" w:hAnsi="华光小标宋_CNKI" w:eastAsia="华光小标宋_CNKI" w:cs="宋体"/>
          <w:bCs/>
          <w:sz w:val="44"/>
          <w:szCs w:val="44"/>
        </w:rPr>
        <w:t>四川省妇幼保健院（四川省妇女儿童医院）天府院区二期工程建设项目</w:t>
      </w:r>
      <w:r>
        <w:rPr>
          <w:rFonts w:hint="eastAsia" w:ascii="华光小标宋_CNKI" w:hAnsi="华光小标宋_CNKI" w:eastAsia="华光小标宋_CNKI" w:cs="宋体"/>
          <w:bCs/>
          <w:color w:val="0000FF"/>
          <w:sz w:val="44"/>
          <w:szCs w:val="44"/>
        </w:rPr>
        <w:t>人防工程防护设备质量</w:t>
      </w:r>
      <w:r>
        <w:rPr>
          <w:rFonts w:hint="eastAsia" w:ascii="华光小标宋_CNKI" w:hAnsi="华光小标宋_CNKI" w:eastAsia="华光小标宋_CNKI" w:cs="宋体"/>
          <w:bCs/>
          <w:color w:val="0000FF"/>
          <w:sz w:val="44"/>
          <w:szCs w:val="44"/>
          <w:lang w:val="en-US" w:eastAsia="zh-CN"/>
        </w:rPr>
        <w:t>检测</w:t>
      </w:r>
      <w:r>
        <w:rPr>
          <w:rFonts w:hint="eastAsia" w:ascii="华光小标宋_CNKI" w:hAnsi="华光小标宋_CNKI" w:eastAsia="华光小标宋_CNKI" w:cs="仿宋"/>
          <w:color w:val="000000"/>
          <w:sz w:val="44"/>
          <w:szCs w:val="44"/>
        </w:rPr>
        <w:t>市场调研要求</w:t>
      </w:r>
    </w:p>
    <w:p>
      <w:pPr>
        <w:spacing w:line="560" w:lineRule="exact"/>
        <w:ind w:firstLine="643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ind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一、项目概述</w:t>
      </w:r>
    </w:p>
    <w:p>
      <w:pPr>
        <w:spacing w:line="560" w:lineRule="exact"/>
        <w:ind w:firstLine="640"/>
        <w:rPr>
          <w:rFonts w:hint="eastAsia" w:ascii="微软雅黑" w:hAnsi="微软雅黑" w:eastAsia="仿宋_GB2312" w:cs="微软雅黑"/>
          <w:b w:val="0"/>
          <w:bCs w:val="0"/>
          <w:i w:val="0"/>
          <w:iCs w:val="0"/>
          <w:caps w:val="0"/>
          <w:color w:val="0000FF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1.名称：四川省妇幼保健院（四川省妇女儿童医院）天府院区二期工程建设项目人防工程防护设备质量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检测.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2.资料递交位置：成都市武侯区沙堰西二街290号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3.项目位置：</w:t>
      </w:r>
      <w:r>
        <w:rPr>
          <w:rFonts w:ascii="仿宋_GB2312" w:eastAsia="仿宋_GB2312"/>
          <w:color w:val="000000"/>
          <w:sz w:val="32"/>
          <w:szCs w:val="32"/>
        </w:rPr>
        <w:t>成都市双流区岐黄二路1515号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4.工程项目概况：四川省妇幼保健院（四川省妇女儿童医院）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天府院区二期工程建设项目总规划净用地面积</w:t>
      </w:r>
      <w:r>
        <w:rPr>
          <w:rFonts w:ascii="仿宋_GB2312" w:hAnsi="仿宋_GB2312" w:eastAsia="仿宋_GB2312" w:cs="仿宋_GB2312"/>
          <w:sz w:val="32"/>
          <w:szCs w:val="32"/>
        </w:rPr>
        <w:t>69598.22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，其中二期工程</w:t>
      </w:r>
      <w:r>
        <w:rPr>
          <w:rFonts w:ascii="仿宋_GB2312" w:hAnsi="仿宋_GB2312" w:eastAsia="仿宋_GB2312" w:cs="仿宋_GB2312"/>
          <w:sz w:val="32"/>
          <w:szCs w:val="32"/>
        </w:rPr>
        <w:t>项目净用地面积约为16300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，二期批复总建筑面79975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，其中地上51968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，地下28007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(其中人防面积约：8090</w:t>
      </w:r>
      <w:r>
        <w:rPr>
          <w:rFonts w:hint="eastAsia" w:ascii="Batang" w:hAnsi="Batang" w:eastAsia="Batang" w:cs="Batang"/>
          <w:color w:val="0000FF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。包括新建门诊住院综合楼、科教楼、地下人防急救医院、设备机房、车库等，配套建设道路、景观、室外管线等公用附属设施，配置洗衣房及制氧中心设备等。二期门诊</w:t>
      </w:r>
      <w:r>
        <w:rPr>
          <w:rFonts w:ascii="仿宋_GB2312" w:hAnsi="仿宋_GB2312" w:eastAsia="仿宋_GB2312" w:cs="仿宋_GB2312"/>
          <w:sz w:val="32"/>
          <w:szCs w:val="32"/>
        </w:rPr>
        <w:t>住院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综合楼位于</w:t>
      </w:r>
      <w:r>
        <w:rPr>
          <w:rFonts w:ascii="仿宋_GB2312" w:hAnsi="仿宋_GB2312" w:eastAsia="仿宋_GB2312" w:cs="仿宋_GB2312"/>
          <w:sz w:val="32"/>
          <w:szCs w:val="32"/>
        </w:rPr>
        <w:t>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门诊</w:t>
      </w:r>
      <w:r>
        <w:rPr>
          <w:rFonts w:ascii="仿宋_GB2312" w:hAnsi="仿宋_GB2312" w:eastAsia="仿宋_GB2312" w:cs="仿宋_GB2312"/>
          <w:sz w:val="32"/>
          <w:szCs w:val="32"/>
        </w:rPr>
        <w:t>住院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综合楼西北</w:t>
      </w:r>
      <w:r>
        <w:rPr>
          <w:rFonts w:ascii="仿宋_GB2312" w:hAnsi="仿宋_GB2312" w:eastAsia="仿宋_GB2312" w:cs="仿宋_GB2312"/>
          <w:sz w:val="32"/>
          <w:szCs w:val="32"/>
        </w:rPr>
        <w:t>方向，并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与其接壤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，该楼初步规划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设置地上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层（总建筑面积约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36000</w:t>
      </w:r>
      <w:r>
        <w:rPr>
          <w:rFonts w:hint="eastAsia" w:ascii="Batang" w:hAnsi="Batang" w:eastAsia="Batang" w:cs="Bata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，地下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层（总建筑面积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约28000</w:t>
      </w:r>
      <w:r>
        <w:rPr>
          <w:rFonts w:hint="eastAsia" w:ascii="Batang" w:hAnsi="Batang" w:eastAsia="Batang" w:cs="Bata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二期科教楼位于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</w:t>
      </w:r>
      <w:r>
        <w:rPr>
          <w:rFonts w:ascii="仿宋_GB2312" w:hAnsi="仿宋_GB2312" w:eastAsia="仿宋_GB2312" w:cs="仿宋_GB2312"/>
          <w:sz w:val="32"/>
          <w:szCs w:val="32"/>
        </w:rPr>
        <w:t>一期行政后勤综合楼北侧</w:t>
      </w:r>
      <w:r>
        <w:rPr>
          <w:rFonts w:hint="eastAsia" w:ascii="仿宋_GB2312" w:hAnsi="仿宋_GB2312" w:eastAsia="仿宋_GB2312" w:cs="仿宋_GB2312"/>
          <w:sz w:val="32"/>
          <w:szCs w:val="32"/>
        </w:rPr>
        <w:t>，初步确定地上建筑面积约</w:t>
      </w:r>
      <w:r>
        <w:rPr>
          <w:rFonts w:ascii="仿宋_GB2312" w:hAnsi="仿宋_GB2312" w:eastAsia="仿宋_GB2312" w:cs="仿宋_GB2312"/>
          <w:sz w:val="32"/>
          <w:szCs w:val="32"/>
        </w:rPr>
        <w:t>16000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，共建设11层。</w:t>
      </w:r>
    </w:p>
    <w:p>
      <w:pPr>
        <w:spacing w:line="56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工作</w:t>
      </w:r>
      <w:r>
        <w:rPr>
          <w:rFonts w:hint="eastAsia" w:ascii="黑体" w:hAnsi="黑体" w:eastAsia="黑体"/>
          <w:color w:val="000000"/>
          <w:sz w:val="32"/>
          <w:szCs w:val="32"/>
        </w:rPr>
        <w:t>服务内容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152045532"/>
      <w:bookmarkStart w:id="1" w:name="_Toc294017670"/>
      <w:bookmarkStart w:id="2" w:name="_Toc152042308"/>
      <w:bookmarkStart w:id="3" w:name="_Toc439847859"/>
      <w:bookmarkStart w:id="4" w:name="_Toc373841013"/>
      <w:bookmarkStart w:id="5" w:name="_Toc144974500"/>
      <w:bookmarkStart w:id="6" w:name="_Toc329876873"/>
      <w:r>
        <w:rPr>
          <w:rFonts w:hint="eastAsia" w:ascii="仿宋_GB2312" w:hAnsi="仿宋_GB2312" w:eastAsia="仿宋_GB2312" w:cs="仿宋_GB2312"/>
          <w:sz w:val="32"/>
          <w:szCs w:val="32"/>
        </w:rPr>
        <w:t>检测内容包括：包括但不仅限于防护设备生产加工质量、安装质量检测。活门、密闭阀门，包含材料和外观质量、外形尺寸和配合尺寸、使用性能等按照相关法律法规、政策文件、图纸要求的全部人防检测项目。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  <w:szCs w:val="32"/>
        </w:rPr>
        <w:t>服务期限和质量要求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1.服务期：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）人防设备生产至人防设备验收合格止。</w:t>
      </w:r>
    </w:p>
    <w:p>
      <w:pPr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2.质量要求：出具的检测报告必须符合国家规范要求，各类印章齐全，检测人、审核人、授权签字人均应签字，否则报告无效。</w:t>
      </w:r>
    </w:p>
    <w:p>
      <w:pPr>
        <w:ind w:firstLine="640"/>
        <w:rPr>
          <w:rFonts w:hint="eastAsia" w:ascii="黑体" w:hAnsi="黑体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成果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1、根据甲方提供的委托信息，在检测资质许可范围内，对委托的防护设备产品进行检测，并按相应技术标准规范，及时出具检测报告。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2、按规范、标准中规定有检测时限的，本着以规范、标准规定的时限为原则，安排检测。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3、乙方独立地实施符合国家标准的检测，并依据相应的标准规范对检测结果进行客观、公正、科学、准确的判定。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64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人防检测</w:t>
      </w:r>
      <w:bookmarkStart w:id="10" w:name="_GoBack"/>
      <w:bookmarkEnd w:id="10"/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位要求及选取方式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（一）单位资格要求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1.参与投标的投标人必须具有独立法人资格；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Microsoft YaHei UI" w:eastAsia="仿宋_GB2312" w:cs="宋体"/>
          <w:color w:val="0000FF"/>
          <w:kern w:val="0"/>
          <w:sz w:val="32"/>
          <w:szCs w:val="32"/>
        </w:rPr>
        <w:t>具有</w:t>
      </w:r>
      <w:r>
        <w:rPr>
          <w:rFonts w:hint="eastAsia" w:ascii="仿宋_GB2312" w:hAnsi="Microsoft YaHei UI" w:eastAsia="仿宋_GB2312" w:cs="宋体"/>
          <w:color w:val="0000FF"/>
          <w:kern w:val="0"/>
          <w:sz w:val="32"/>
          <w:szCs w:val="32"/>
          <w:lang w:val="en-US" w:eastAsia="zh-CN"/>
        </w:rPr>
        <w:t>国家认证认可监督管理委员会监制的《检验检测机构资质认定证书》，须为成都市人民防空办公室检测单位库中的备案机构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.未处于财产被接管、冻结、破产状态；未处于四川省行政区域内有关行政处罚期间；未处于投标禁止期内；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.具有良好的商业信誉和健全的财务会计制度；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.在人员、设备、资金等方面具有相应的能力；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.本次采购不接受联合体投标；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.省外企业需具备在有效期内的《省外企业进川承接业务备案证明》。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（二）选取方式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本项目将通过院内竞争性磋商确定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人防检测</w:t>
      </w:r>
      <w:r>
        <w:rPr>
          <w:rFonts w:hint="eastAsia" w:ascii="仿宋_GB2312" w:eastAsia="仿宋_GB2312"/>
          <w:color w:val="000000"/>
          <w:sz w:val="32"/>
          <w:szCs w:val="32"/>
        </w:rPr>
        <w:t>单位。各参与单位根据“二、服务内容”，各自提供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人防检测服务方案</w:t>
      </w:r>
      <w:r>
        <w:rPr>
          <w:rFonts w:hint="eastAsia" w:ascii="仿宋_GB2312" w:eastAsia="仿宋_GB2312"/>
          <w:color w:val="000000"/>
          <w:sz w:val="32"/>
          <w:szCs w:val="32"/>
        </w:rPr>
        <w:t>参与竞争性磋商，选择出最优单位开展“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四川省妇幼保健院天府院区二期工程建设项目人防检测</w:t>
      </w:r>
      <w:r>
        <w:rPr>
          <w:rFonts w:hint="eastAsia" w:ascii="仿宋_GB2312" w:eastAsia="仿宋_GB2312"/>
          <w:color w:val="000000"/>
          <w:sz w:val="32"/>
          <w:szCs w:val="32"/>
        </w:rPr>
        <w:t>”相关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八、其他事项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有意愿参与的单位可来院踏勘、洽谈。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上班时间为8：00—12：00（上午），14：00—17：30（下午）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联系电话：65978214   吴老师  刘老师</w:t>
      </w:r>
    </w:p>
    <w:p>
      <w:pPr>
        <w:spacing w:line="400" w:lineRule="exact"/>
        <w:ind w:firstLine="562"/>
        <w:rPr>
          <w:rFonts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 xml:space="preserve">    </w:t>
      </w:r>
    </w:p>
    <w:p>
      <w:pPr>
        <w:spacing w:line="400" w:lineRule="exact"/>
        <w:ind w:firstLine="3373" w:firstLineChars="1200"/>
        <w:jc w:val="left"/>
        <w:rPr>
          <w:rFonts w:ascii="黑体" w:hAnsi="宋体" w:eastAsia="黑体"/>
          <w:b/>
          <w:bCs/>
          <w:color w:val="000000"/>
          <w:sz w:val="28"/>
          <w:szCs w:val="28"/>
        </w:rPr>
      </w:pPr>
      <w:r>
        <w:rPr>
          <w:rFonts w:ascii="黑体" w:hAnsi="宋体" w:eastAsia="黑体"/>
          <w:b/>
          <w:bCs/>
          <w:color w:val="000000"/>
          <w:sz w:val="28"/>
          <w:szCs w:val="28"/>
        </w:rPr>
        <w:br w:type="page"/>
      </w:r>
    </w:p>
    <w:p>
      <w:pPr>
        <w:pStyle w:val="8"/>
        <w:ind w:left="0" w:leftChars="0" w:firstLine="0" w:firstLineChars="0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附录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1</w:t>
      </w: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    品目及报价表</w:t>
      </w:r>
    </w:p>
    <w:tbl>
      <w:tblPr>
        <w:tblStyle w:val="10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609"/>
        <w:gridCol w:w="984"/>
        <w:gridCol w:w="1867"/>
        <w:gridCol w:w="1484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tabs>
          <w:tab w:val="left" w:pos="2840"/>
          <w:tab w:val="left" w:pos="5681"/>
        </w:tabs>
        <w:spacing w:line="360" w:lineRule="auto"/>
        <w:jc w:val="left"/>
        <w:rPr>
          <w:rFonts w:hint="eastAsia" w:ascii="黑体" w:hAnsi="宋体" w:eastAsia="黑体"/>
          <w:b/>
          <w:bCs/>
          <w:sz w:val="24"/>
        </w:rPr>
      </w:pPr>
    </w:p>
    <w:p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供应商名称（盖章）：</w:t>
      </w:r>
    </w:p>
    <w:p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法定代表人或授权代表（签字）：</w:t>
      </w:r>
    </w:p>
    <w:p>
      <w:pPr>
        <w:widowControl/>
        <w:spacing w:line="360" w:lineRule="auto"/>
        <w:ind w:firstLine="485"/>
        <w:jc w:val="left"/>
        <w:rPr>
          <w:rFonts w:hint="eastAsia" w:ascii="宋体" w:hAnsi="宋体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联系方式：</w:t>
      </w:r>
    </w:p>
    <w:p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ind w:firstLine="480"/>
        <w:rPr>
          <w:rFonts w:ascii="宋体" w:hAnsi="宋体"/>
          <w:color w:val="000000"/>
          <w:sz w:val="24"/>
        </w:rPr>
      </w:pPr>
    </w:p>
    <w:p>
      <w:pPr>
        <w:pStyle w:val="4"/>
        <w:ind w:firstLine="420"/>
      </w:pPr>
    </w:p>
    <w:p>
      <w:pPr>
        <w:pStyle w:val="4"/>
        <w:ind w:firstLine="420"/>
      </w:pPr>
    </w:p>
    <w:p>
      <w:pPr>
        <w:pStyle w:val="4"/>
        <w:ind w:firstLine="420"/>
      </w:pPr>
    </w:p>
    <w:p>
      <w:pPr>
        <w:pStyle w:val="4"/>
        <w:ind w:firstLine="420"/>
      </w:pPr>
    </w:p>
    <w:p>
      <w:pPr>
        <w:pStyle w:val="4"/>
        <w:ind w:firstLine="420"/>
      </w:pPr>
    </w:p>
    <w:p>
      <w:pPr>
        <w:pStyle w:val="4"/>
        <w:ind w:firstLine="420"/>
      </w:pPr>
    </w:p>
    <w:p>
      <w:pPr>
        <w:pStyle w:val="4"/>
        <w:ind w:firstLine="420"/>
      </w:pPr>
    </w:p>
    <w:p>
      <w:pPr>
        <w:pStyle w:val="4"/>
        <w:ind w:firstLine="420"/>
      </w:pPr>
    </w:p>
    <w:p>
      <w:pPr>
        <w:pStyle w:val="4"/>
        <w:ind w:firstLine="420"/>
      </w:pPr>
    </w:p>
    <w:p>
      <w:pPr>
        <w:ind w:firstLine="562"/>
        <w:rPr>
          <w:rFonts w:hint="eastAsia" w:eastAsia="黑体"/>
          <w:color w:val="000000"/>
          <w:lang w:eastAsia="zh-CN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附录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  <w:lang w:val="en-US" w:eastAsia="zh-CN"/>
        </w:rPr>
        <w:t>2</w:t>
      </w:r>
    </w:p>
    <w:p>
      <w:pPr>
        <w:spacing w:line="400" w:lineRule="exact"/>
        <w:ind w:firstLine="562"/>
        <w:jc w:val="center"/>
        <w:rPr>
          <w:rFonts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质量保证书</w:t>
      </w:r>
    </w:p>
    <w:p>
      <w:pPr>
        <w:spacing w:line="400" w:lineRule="exact"/>
        <w:ind w:firstLine="360" w:firstLineChars="1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************：</w:t>
      </w:r>
    </w:p>
    <w:p>
      <w:pPr>
        <w:spacing w:line="400" w:lineRule="exact"/>
        <w:ind w:firstLine="48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24"/>
        </w:rPr>
        <w:t>（制造商家名称）是在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（国名）依法登记注册的，其地址现在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。其主要营业地点现在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pStyle w:val="5"/>
        <w:spacing w:line="400" w:lineRule="exact"/>
        <w:ind w:left="0" w:leftChars="0" w:firstLine="48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作为供应商，我方承诺，为本次招标提供的服务符合相关法律法规，我方保证以投标合作者来约束自己，并对该投标共同承担和分别承担招标文件中所规定的义务，按时、按质、按量完成采购文件及投标文件中约的服务内容。</w:t>
      </w:r>
    </w:p>
    <w:p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供应商单位名称：       （盖章） </w:t>
      </w:r>
    </w:p>
    <w:p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供应商单位法定代表人或授权代表（签字）：        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</w:p>
    <w:p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</w:t>
      </w:r>
    </w:p>
    <w:p>
      <w:pPr>
        <w:spacing w:line="400" w:lineRule="exact"/>
        <w:ind w:firstLine="440"/>
        <w:rPr>
          <w:rFonts w:ascii="宋体" w:hAnsi="宋体"/>
          <w:color w:val="000000"/>
          <w:sz w:val="22"/>
        </w:rPr>
      </w:pPr>
    </w:p>
    <w:p>
      <w:pPr>
        <w:spacing w:line="400" w:lineRule="exact"/>
        <w:ind w:firstLine="440"/>
        <w:rPr>
          <w:rFonts w:ascii="宋体" w:hAnsi="宋体"/>
          <w:color w:val="000000"/>
          <w:sz w:val="22"/>
        </w:rPr>
      </w:pPr>
    </w:p>
    <w:p>
      <w:pPr>
        <w:pStyle w:val="8"/>
        <w:ind w:left="860" w:hanging="440"/>
        <w:rPr>
          <w:rFonts w:ascii="宋体" w:hAnsi="宋体"/>
          <w:color w:val="000000"/>
          <w:sz w:val="22"/>
        </w:rPr>
      </w:pPr>
    </w:p>
    <w:p>
      <w:pPr>
        <w:ind w:firstLine="440"/>
        <w:rPr>
          <w:rFonts w:ascii="宋体" w:hAnsi="宋体"/>
          <w:color w:val="000000"/>
          <w:sz w:val="22"/>
        </w:rPr>
      </w:pPr>
    </w:p>
    <w:p>
      <w:pPr>
        <w:pStyle w:val="8"/>
        <w:ind w:left="860" w:hanging="440"/>
        <w:rPr>
          <w:rFonts w:ascii="宋体" w:hAnsi="宋体"/>
          <w:color w:val="000000"/>
          <w:sz w:val="22"/>
        </w:rPr>
      </w:pPr>
    </w:p>
    <w:p>
      <w:pPr>
        <w:ind w:firstLine="440"/>
        <w:rPr>
          <w:rFonts w:ascii="宋体" w:hAnsi="宋体"/>
          <w:color w:val="000000"/>
          <w:sz w:val="22"/>
        </w:rPr>
      </w:pPr>
    </w:p>
    <w:p>
      <w:pPr>
        <w:pStyle w:val="8"/>
        <w:ind w:left="860" w:hanging="440"/>
        <w:rPr>
          <w:rFonts w:ascii="宋体" w:hAnsi="宋体"/>
          <w:color w:val="000000"/>
          <w:sz w:val="22"/>
        </w:rPr>
      </w:pPr>
    </w:p>
    <w:p>
      <w:pPr>
        <w:ind w:firstLine="440"/>
        <w:rPr>
          <w:rFonts w:ascii="宋体" w:hAnsi="宋体"/>
          <w:color w:val="000000"/>
          <w:sz w:val="22"/>
        </w:rPr>
      </w:pPr>
    </w:p>
    <w:p>
      <w:pPr>
        <w:pStyle w:val="8"/>
        <w:ind w:left="860" w:hanging="440"/>
        <w:rPr>
          <w:rFonts w:ascii="宋体" w:hAnsi="宋体"/>
          <w:color w:val="000000"/>
          <w:sz w:val="22"/>
        </w:rPr>
      </w:pPr>
    </w:p>
    <w:p>
      <w:pPr>
        <w:ind w:firstLine="440"/>
        <w:rPr>
          <w:rFonts w:ascii="宋体" w:hAnsi="宋体"/>
          <w:color w:val="000000"/>
          <w:sz w:val="22"/>
        </w:rPr>
      </w:pPr>
    </w:p>
    <w:p>
      <w:pPr>
        <w:pStyle w:val="8"/>
        <w:ind w:left="860" w:hanging="440"/>
        <w:rPr>
          <w:rFonts w:ascii="宋体" w:hAnsi="宋体"/>
          <w:color w:val="000000"/>
          <w:sz w:val="22"/>
        </w:rPr>
      </w:pPr>
    </w:p>
    <w:p>
      <w:pPr>
        <w:ind w:firstLine="440"/>
        <w:rPr>
          <w:rFonts w:ascii="宋体" w:hAnsi="宋体"/>
          <w:color w:val="000000"/>
          <w:sz w:val="22"/>
        </w:rPr>
      </w:pPr>
    </w:p>
    <w:p>
      <w:pPr>
        <w:pStyle w:val="8"/>
        <w:ind w:left="860" w:hanging="440"/>
        <w:rPr>
          <w:rFonts w:ascii="宋体" w:hAnsi="宋体"/>
          <w:color w:val="000000"/>
          <w:sz w:val="22"/>
        </w:rPr>
      </w:pPr>
    </w:p>
    <w:p>
      <w:pPr>
        <w:ind w:firstLine="440"/>
        <w:rPr>
          <w:rFonts w:ascii="宋体" w:hAnsi="宋体"/>
          <w:color w:val="000000"/>
          <w:sz w:val="22"/>
        </w:rPr>
      </w:pPr>
    </w:p>
    <w:p>
      <w:pPr>
        <w:pStyle w:val="8"/>
        <w:ind w:left="860" w:hanging="440"/>
        <w:rPr>
          <w:rFonts w:ascii="宋体" w:hAnsi="宋体"/>
          <w:color w:val="000000"/>
          <w:sz w:val="22"/>
        </w:rPr>
      </w:pPr>
    </w:p>
    <w:p>
      <w:pPr>
        <w:ind w:firstLine="440"/>
        <w:rPr>
          <w:rFonts w:ascii="宋体" w:hAnsi="宋体"/>
          <w:color w:val="000000"/>
          <w:sz w:val="22"/>
        </w:rPr>
      </w:pPr>
    </w:p>
    <w:p>
      <w:pPr>
        <w:pStyle w:val="8"/>
        <w:ind w:left="860" w:hanging="440"/>
        <w:rPr>
          <w:rFonts w:ascii="宋体" w:hAnsi="宋体"/>
          <w:color w:val="000000"/>
          <w:sz w:val="22"/>
        </w:rPr>
      </w:pPr>
    </w:p>
    <w:p>
      <w:pPr>
        <w:ind w:firstLine="420"/>
      </w:pPr>
    </w:p>
    <w:p>
      <w:pPr>
        <w:pStyle w:val="4"/>
        <w:ind w:firstLine="420"/>
      </w:pPr>
    </w:p>
    <w:p>
      <w:pPr>
        <w:pStyle w:val="4"/>
        <w:ind w:firstLine="420"/>
      </w:pPr>
    </w:p>
    <w:p>
      <w:pPr>
        <w:pStyle w:val="4"/>
        <w:ind w:firstLine="420"/>
      </w:pPr>
    </w:p>
    <w:p>
      <w:pPr>
        <w:pStyle w:val="8"/>
        <w:ind w:left="350" w:leftChars="46" w:hanging="253" w:hangingChars="90"/>
        <w:rPr>
          <w:rFonts w:ascii="宋体" w:hAnsi="宋体"/>
          <w:color w:val="000000"/>
          <w:sz w:val="22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附录3</w:t>
      </w:r>
    </w:p>
    <w:p>
      <w:pPr>
        <w:spacing w:line="400" w:lineRule="exact"/>
        <w:ind w:firstLine="0" w:firstLineChars="0"/>
        <w:jc w:val="center"/>
        <w:rPr>
          <w:rFonts w:ascii="黑体" w:hAnsi="宋体" w:eastAsia="黑体"/>
          <w:b/>
          <w:bCs/>
          <w:color w:val="000000"/>
          <w:sz w:val="28"/>
          <w:szCs w:val="28"/>
        </w:rPr>
      </w:pPr>
      <w:bookmarkStart w:id="7" w:name="_Toc95295163"/>
      <w:bookmarkStart w:id="8" w:name="_Toc237343703"/>
      <w:bookmarkStart w:id="9" w:name="_Toc174767233"/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法定代表人身份授权书</w:t>
      </w:r>
    </w:p>
    <w:p>
      <w:pPr>
        <w:pStyle w:val="4"/>
        <w:ind w:firstLine="420"/>
      </w:pPr>
    </w:p>
    <w:p>
      <w:pPr>
        <w:tabs>
          <w:tab w:val="left" w:pos="6300"/>
        </w:tabs>
        <w:ind w:firstLine="480"/>
        <w:rPr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ind w:firstLine="480"/>
        <w:rPr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ind w:firstLine="480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特此声明。</w:t>
      </w:r>
    </w:p>
    <w:p>
      <w:pPr>
        <w:tabs>
          <w:tab w:val="left" w:pos="6300"/>
        </w:tabs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法定代表人签字：</w:t>
      </w:r>
    </w:p>
    <w:p>
      <w:pPr>
        <w:tabs>
          <w:tab w:val="left" w:pos="6300"/>
        </w:tabs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授权代表签字：</w:t>
      </w:r>
    </w:p>
    <w:p>
      <w:pPr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 xml:space="preserve"> （加盖公章）</w:t>
      </w:r>
    </w:p>
    <w:p>
      <w:pPr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</w:t>
      </w:r>
    </w:p>
    <w:p>
      <w:pPr>
        <w:tabs>
          <w:tab w:val="left" w:pos="6300"/>
        </w:tabs>
        <w:ind w:firstLine="480"/>
        <w:rPr>
          <w:color w:val="000000"/>
          <w:sz w:val="28"/>
          <w:szCs w:val="28"/>
        </w:rPr>
      </w:pP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★说明：上述证明文件附有法定代表人、被授权代表身份证复印件（加盖公章）时才能生效。</w:t>
      </w:r>
      <w:bookmarkEnd w:id="7"/>
      <w:bookmarkEnd w:id="8"/>
      <w:bookmarkEnd w:id="9"/>
    </w:p>
    <w:p>
      <w:pPr>
        <w:spacing w:line="560" w:lineRule="exact"/>
        <w:ind w:firstLine="420"/>
        <w:rPr>
          <w:color w:val="000000"/>
        </w:rPr>
      </w:pPr>
    </w:p>
    <w:p>
      <w:pPr>
        <w:pStyle w:val="4"/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zk1NDRkNTkxYTliYjE5YmExODRlMDE4NWYyNWUifQ=="/>
  </w:docVars>
  <w:rsids>
    <w:rsidRoot w:val="00A231DE"/>
    <w:rsid w:val="000B7129"/>
    <w:rsid w:val="000D3535"/>
    <w:rsid w:val="00256F7A"/>
    <w:rsid w:val="002610A0"/>
    <w:rsid w:val="0029712D"/>
    <w:rsid w:val="002D73A2"/>
    <w:rsid w:val="00300F03"/>
    <w:rsid w:val="00351774"/>
    <w:rsid w:val="003D1CA5"/>
    <w:rsid w:val="00403CE8"/>
    <w:rsid w:val="004F2D2C"/>
    <w:rsid w:val="00615AED"/>
    <w:rsid w:val="00673992"/>
    <w:rsid w:val="00790113"/>
    <w:rsid w:val="007A101B"/>
    <w:rsid w:val="0096178B"/>
    <w:rsid w:val="00994C75"/>
    <w:rsid w:val="00997597"/>
    <w:rsid w:val="00A13A7E"/>
    <w:rsid w:val="00A231DE"/>
    <w:rsid w:val="00A35F21"/>
    <w:rsid w:val="00AD0AA0"/>
    <w:rsid w:val="00B55659"/>
    <w:rsid w:val="00B77683"/>
    <w:rsid w:val="00B8205C"/>
    <w:rsid w:val="00BF7086"/>
    <w:rsid w:val="00C77FCF"/>
    <w:rsid w:val="00C84C9E"/>
    <w:rsid w:val="00CA247D"/>
    <w:rsid w:val="00D06B3E"/>
    <w:rsid w:val="106206CC"/>
    <w:rsid w:val="13021412"/>
    <w:rsid w:val="16856CA3"/>
    <w:rsid w:val="1B012C5C"/>
    <w:rsid w:val="1BB624F0"/>
    <w:rsid w:val="21282395"/>
    <w:rsid w:val="24D75903"/>
    <w:rsid w:val="2FC62375"/>
    <w:rsid w:val="305C7A9C"/>
    <w:rsid w:val="36FD75C1"/>
    <w:rsid w:val="37264E39"/>
    <w:rsid w:val="3DDD4CDA"/>
    <w:rsid w:val="3EEA2F2A"/>
    <w:rsid w:val="405D61C4"/>
    <w:rsid w:val="406B6BFC"/>
    <w:rsid w:val="45A546C7"/>
    <w:rsid w:val="4C8B3E82"/>
    <w:rsid w:val="4E343A17"/>
    <w:rsid w:val="54331052"/>
    <w:rsid w:val="54DF6509"/>
    <w:rsid w:val="570A6D6C"/>
    <w:rsid w:val="57F64934"/>
    <w:rsid w:val="598D75DA"/>
    <w:rsid w:val="5C8D5A42"/>
    <w:rsid w:val="614F2FC1"/>
    <w:rsid w:val="617A5F38"/>
    <w:rsid w:val="61F45CEA"/>
    <w:rsid w:val="635D7461"/>
    <w:rsid w:val="6843618B"/>
    <w:rsid w:val="68550B65"/>
    <w:rsid w:val="69AC5E6E"/>
    <w:rsid w:val="6F60286E"/>
    <w:rsid w:val="752D3395"/>
    <w:rsid w:val="76DF08BF"/>
    <w:rsid w:val="78592C44"/>
    <w:rsid w:val="7A4E10D6"/>
    <w:rsid w:val="7CFC4880"/>
    <w:rsid w:val="7E7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link w:val="12"/>
    <w:unhideWhenUsed/>
    <w:qFormat/>
    <w:uiPriority w:val="99"/>
    <w:pPr>
      <w:spacing w:after="120"/>
    </w:pPr>
  </w:style>
  <w:style w:type="paragraph" w:styleId="5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spacing w:line="240" w:lineRule="auto"/>
      <w:ind w:left="200" w:leftChars="200" w:hanging="200" w:hangingChars="200"/>
    </w:pPr>
    <w:rPr>
      <w:rFonts w:ascii="Calibri" w:hAnsi="Calibri"/>
      <w:szCs w:val="22"/>
    </w:rPr>
  </w:style>
  <w:style w:type="paragraph" w:styleId="9">
    <w:name w:val="Normal (Web)"/>
    <w:basedOn w:val="1"/>
    <w:unhideWhenUsed/>
    <w:qFormat/>
    <w:uiPriority w:val="99"/>
    <w:pPr>
      <w:widowControl/>
      <w:spacing w:before="150" w:after="150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正文文本 Char"/>
    <w:basedOn w:val="11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样式 标题 3 + (中文) 黑体 小四 非加粗 段前: 7.8 磅 段后: 0 磅 行距: 固定值 20 磅"/>
    <w:basedOn w:val="3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15">
    <w:name w:val="标题 3 Char"/>
    <w:basedOn w:val="11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1707</Words>
  <Characters>1793</Characters>
  <Lines>28</Lines>
  <Paragraphs>7</Paragraphs>
  <TotalTime>59</TotalTime>
  <ScaleCrop>false</ScaleCrop>
  <LinksUpToDate>false</LinksUpToDate>
  <CharactersWithSpaces>2090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2022-05-30T06:22:00Z</dcterms:created>
  <dc:creator>吴京珉</dc:creator>
  <cp:lastModifiedBy>lrq</cp:lastModifiedBy>
  <dcterms:modified xsi:type="dcterms:W3CDTF">2023-05-04T08:48:27Z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3E23C7747B1A488DBF158DC1F496026B</vt:lpwstr>
  </property>
</Properties>
</file>