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p>
      <w:pPr>
        <w:widowControl/>
        <w:numPr>
          <w:ilvl w:val="0"/>
          <w:numId w:val="0"/>
        </w:numPr>
        <w:shd w:val="clear" w:color="auto" w:fill="FFFFFF"/>
        <w:spacing w:line="400" w:lineRule="exact"/>
        <w:jc w:val="left"/>
        <w:rPr>
          <w:rFonts w:hint="eastAsia" w:ascii="仿宋" w:hAnsi="仿宋" w:eastAsia="仿宋" w:cs="Segoe UI"/>
          <w:b/>
          <w:color w:val="333333"/>
          <w:spacing w:val="8"/>
          <w:kern w:val="0"/>
          <w:sz w:val="28"/>
          <w:szCs w:val="28"/>
        </w:rPr>
      </w:pPr>
    </w:p>
    <w:tbl>
      <w:tblPr>
        <w:tblStyle w:val="7"/>
        <w:tblpPr w:leftFromText="180" w:rightFromText="180" w:vertAnchor="text" w:horzAnchor="page" w:tblpX="1318" w:tblpY="111"/>
        <w:tblOverlap w:val="never"/>
        <w:tblW w:w="55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12"/>
        <w:gridCol w:w="940"/>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90" w:type="pct"/>
            <w:noWrap w:val="0"/>
            <w:vAlign w:val="center"/>
          </w:tcPr>
          <w:p>
            <w:pPr>
              <w:spacing w:line="420" w:lineRule="exact"/>
              <w:jc w:val="center"/>
              <w:rPr>
                <w:rFonts w:hint="eastAsia" w:ascii="宋体" w:hAnsi="宋体" w:cs="Segoe UI"/>
                <w:spacing w:val="8"/>
                <w:kern w:val="0"/>
                <w:sz w:val="18"/>
                <w:szCs w:val="18"/>
              </w:rPr>
            </w:pPr>
            <w:r>
              <w:rPr>
                <w:rFonts w:hint="eastAsia" w:cs="宋体"/>
                <w:color w:val="000000"/>
                <w:kern w:val="0"/>
              </w:rPr>
              <w:t>序号</w:t>
            </w:r>
          </w:p>
        </w:tc>
        <w:tc>
          <w:tcPr>
            <w:tcW w:w="537" w:type="pct"/>
            <w:noWrap w:val="0"/>
            <w:vAlign w:val="center"/>
          </w:tcPr>
          <w:p>
            <w:pPr>
              <w:spacing w:line="420" w:lineRule="exact"/>
              <w:jc w:val="center"/>
              <w:rPr>
                <w:rFonts w:hint="eastAsia" w:cs="宋体"/>
                <w:color w:val="000000"/>
                <w:kern w:val="0"/>
              </w:rPr>
            </w:pPr>
            <w:r>
              <w:rPr>
                <w:rFonts w:hint="eastAsia" w:cs="宋体"/>
                <w:color w:val="000000"/>
                <w:kern w:val="0"/>
              </w:rPr>
              <w:t>产品名称</w:t>
            </w:r>
          </w:p>
        </w:tc>
        <w:tc>
          <w:tcPr>
            <w:tcW w:w="499" w:type="pct"/>
            <w:noWrap w:val="0"/>
            <w:vAlign w:val="center"/>
          </w:tcPr>
          <w:p>
            <w:pPr>
              <w:spacing w:line="420" w:lineRule="exact"/>
              <w:jc w:val="center"/>
              <w:rPr>
                <w:rFonts w:cs="宋体"/>
                <w:color w:val="000000"/>
                <w:kern w:val="0"/>
              </w:rPr>
            </w:pPr>
            <w:r>
              <w:rPr>
                <w:rFonts w:hint="eastAsia" w:cs="宋体"/>
                <w:color w:val="000000"/>
                <w:kern w:val="0"/>
              </w:rPr>
              <w:t>年度预估</w:t>
            </w:r>
            <w:r>
              <w:rPr>
                <w:rFonts w:hint="eastAsia" w:cs="宋体"/>
                <w:color w:val="000000"/>
                <w:kern w:val="0"/>
                <w:lang w:val="en-US" w:eastAsia="zh-CN"/>
              </w:rPr>
              <w:t>用</w:t>
            </w:r>
            <w:r>
              <w:rPr>
                <w:rFonts w:hint="eastAsia" w:cs="宋体"/>
                <w:color w:val="000000"/>
                <w:kern w:val="0"/>
              </w:rPr>
              <w:t>量（</w:t>
            </w:r>
            <w:r>
              <w:rPr>
                <w:rFonts w:hint="eastAsia" w:cs="宋体"/>
                <w:color w:val="000000"/>
                <w:kern w:val="0"/>
                <w:lang w:val="en-US" w:eastAsia="zh-CN"/>
              </w:rPr>
              <w:t>个</w:t>
            </w:r>
            <w:r>
              <w:rPr>
                <w:rFonts w:hint="eastAsia" w:cs="宋体"/>
                <w:color w:val="000000"/>
                <w:kern w:val="0"/>
              </w:rPr>
              <w:t>）</w:t>
            </w:r>
          </w:p>
        </w:tc>
        <w:tc>
          <w:tcPr>
            <w:tcW w:w="3573" w:type="pct"/>
            <w:noWrap w:val="0"/>
            <w:vAlign w:val="center"/>
          </w:tcPr>
          <w:p>
            <w:pPr>
              <w:spacing w:line="420" w:lineRule="exact"/>
              <w:jc w:val="center"/>
              <w:rPr>
                <w:rFonts w:hint="eastAsia" w:cs="宋体"/>
                <w:color w:val="000000"/>
                <w:kern w:val="0"/>
              </w:rPr>
            </w:pPr>
            <w:r>
              <w:rPr>
                <w:rFonts w:hint="eastAsia" w:cs="宋体"/>
                <w:color w:val="000000"/>
                <w:kern w:val="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3" w:hRule="atLeast"/>
        </w:trPr>
        <w:tc>
          <w:tcPr>
            <w:tcW w:w="390"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w:t>
            </w:r>
          </w:p>
        </w:tc>
        <w:tc>
          <w:tcPr>
            <w:tcW w:w="537"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输液港</w:t>
            </w:r>
          </w:p>
        </w:tc>
        <w:tc>
          <w:tcPr>
            <w:tcW w:w="499"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60</w:t>
            </w:r>
          </w:p>
        </w:tc>
        <w:tc>
          <w:tcPr>
            <w:tcW w:w="3573" w:type="pct"/>
            <w:noWrap w:val="0"/>
            <w:vAlign w:val="center"/>
          </w:tcPr>
          <w:p>
            <w:pPr>
              <w:numPr>
                <w:ilvl w:val="0"/>
                <w:numId w:val="0"/>
              </w:numPr>
              <w:spacing w:line="420" w:lineRule="exact"/>
              <w:jc w:val="left"/>
              <w:rPr>
                <w:rFonts w:hint="eastAsia" w:ascii="Times New Roman" w:hAnsi="Times New Roman" w:eastAsia="宋体" w:cs="宋体"/>
                <w:b/>
                <w:bCs/>
                <w:color w:val="000000"/>
                <w:kern w:val="0"/>
                <w:lang w:val="en-US" w:eastAsia="zh-CN"/>
              </w:rPr>
            </w:pPr>
            <w:r>
              <w:rPr>
                <w:rFonts w:hint="eastAsia" w:ascii="Times New Roman" w:hAnsi="Times New Roman" w:eastAsia="宋体" w:cs="宋体"/>
                <w:b/>
                <w:bCs/>
                <w:color w:val="000000"/>
                <w:kern w:val="0"/>
                <w:lang w:val="en-US" w:eastAsia="zh-CN"/>
              </w:rPr>
              <w:t>1.输液港</w:t>
            </w:r>
          </w:p>
          <w:p>
            <w:pPr>
              <w:numPr>
                <w:ilvl w:val="0"/>
                <w:numId w:val="0"/>
              </w:num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1.1适用范围：用于通过血管通道</w:t>
            </w:r>
            <w:bookmarkStart w:id="0" w:name="_Hlk96544261"/>
            <w:r>
              <w:rPr>
                <w:rFonts w:hint="eastAsia" w:ascii="Times New Roman" w:hAnsi="Times New Roman" w:eastAsia="宋体" w:cs="宋体"/>
                <w:color w:val="000000"/>
                <w:kern w:val="0"/>
                <w:lang w:val="en-US" w:eastAsia="zh-CN"/>
              </w:rPr>
              <w:t>重复给药。</w:t>
            </w:r>
          </w:p>
          <w:p>
            <w:pPr>
              <w:numPr>
                <w:ilvl w:val="0"/>
                <w:numId w:val="0"/>
              </w:num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1.2结构与组成：由输液港、中心静脉导管、一次性使用植入式给药装置留置针、导管锁、导丝、穿刺针、血管扩张器和、血管撕裂鞘、隧道针、冲洗器等组成 。</w:t>
            </w: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1.3输液港穿刺隔膜触诊点≥3个，方便穿刺定位；导管锁为直推式。</w:t>
            </w:r>
          </w:p>
          <w:p>
            <w:pPr>
              <w:spacing w:line="420" w:lineRule="exact"/>
              <w:jc w:val="left"/>
              <w:rPr>
                <w:rFonts w:hint="eastAsia" w:ascii="Times New Roman" w:hAnsi="Times New Roman" w:eastAsia="宋体" w:cs="宋体"/>
                <w:color w:val="000000"/>
                <w:kern w:val="0"/>
                <w:lang w:val="en-US" w:eastAsia="zh-CN"/>
              </w:rPr>
            </w:pP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1.4规格及尺寸：导管外径≤2mm。</w:t>
            </w:r>
          </w:p>
          <w:p>
            <w:pPr>
              <w:spacing w:line="420" w:lineRule="exact"/>
              <w:jc w:val="left"/>
              <w:rPr>
                <w:rFonts w:hint="eastAsia" w:ascii="Times New Roman" w:hAnsi="Times New Roman" w:eastAsia="宋体" w:cs="宋体"/>
                <w:color w:val="000000"/>
                <w:kern w:val="0"/>
                <w:lang w:val="en-US" w:eastAsia="zh-CN"/>
              </w:rPr>
            </w:pP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1.5输液港为耐高压，</w:t>
            </w:r>
            <w:r>
              <w:rPr>
                <w:rFonts w:hint="eastAsia" w:ascii="宋体" w:hAnsi="宋体" w:eastAsia="宋体" w:cs="宋体"/>
                <w:kern w:val="0"/>
                <w:szCs w:val="21"/>
              </w:rPr>
              <w:t>可注射造影剂</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与</w:t>
            </w:r>
            <w:r>
              <w:rPr>
                <w:rFonts w:hint="eastAsia" w:ascii="宋体" w:hAnsi="宋体" w:eastAsia="宋体" w:cs="宋体"/>
                <w:kern w:val="0"/>
                <w:szCs w:val="21"/>
              </w:rPr>
              <w:t>CT和核磁共振兼容</w:t>
            </w:r>
            <w:r>
              <w:rPr>
                <w:rFonts w:hint="eastAsia" w:ascii="Times New Roman" w:hAnsi="Times New Roman" w:eastAsia="宋体" w:cs="宋体"/>
                <w:color w:val="000000"/>
                <w:kern w:val="0"/>
                <w:lang w:val="en-US" w:eastAsia="zh-CN"/>
              </w:rPr>
              <w:t>。</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1.6包装消毒：产品经环氧乙烷灭菌，为一次性使用产品。</w:t>
            </w:r>
            <w:bookmarkEnd w:id="0"/>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b/>
                <w:bCs/>
                <w:color w:val="000000"/>
                <w:kern w:val="0"/>
                <w:lang w:val="en-US" w:eastAsia="zh-CN"/>
              </w:rPr>
              <w:t xml:space="preserve">2.输液港针 </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2.1适用范围：产品用于接入植入的血管内输液港。</w:t>
            </w:r>
          </w:p>
          <w:p>
            <w:pPr>
              <w:spacing w:line="420" w:lineRule="exact"/>
              <w:jc w:val="left"/>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2.2规格：≥20、22G。</w:t>
            </w:r>
          </w:p>
          <w:p>
            <w:pPr>
              <w:pStyle w:val="14"/>
              <w:ind w:firstLine="0" w:firstLineChars="0"/>
              <w:rPr>
                <w:rFonts w:hint="eastAsia" w:ascii="Times New Roman" w:hAnsi="Times New Roman" w:eastAsia="宋体" w:cs="宋体"/>
                <w:color w:val="000000"/>
                <w:kern w:val="0"/>
                <w:lang w:val="en-US" w:eastAsia="zh-CN"/>
              </w:rPr>
            </w:pP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2.3产品技术要求：</w:t>
            </w:r>
            <w:r>
              <w:rPr>
                <w:rFonts w:hint="eastAsia" w:ascii="Times New Roman" w:hAnsi="Times New Roman" w:eastAsia="宋体" w:cs="宋体"/>
                <w:color w:val="000000"/>
                <w:kern w:val="0"/>
                <w:sz w:val="21"/>
                <w:szCs w:val="21"/>
                <w:lang w:val="en-US" w:eastAsia="zh-CN" w:bidi="ar-SA"/>
              </w:rPr>
              <w:t>产品装置可以保护医护人员在拔针的时候不会因港座气压回弹刺伤。</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2.4包装消毒：产品经环氧乙烷灭菌，为一次性使用产品。</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39万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2.供货期限：3年，采购数量以实际使用量为准。</w:t>
      </w: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1.投标供应商应具备以上全部产品的供货资质，资质不全或缺少报价则视为不响应；</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投标产品属于国家医疗保障局发布的《医保医用耗材分类与代码》目录且具有医疗器械注册证的全部医用耗材（不含一类医疗器械）的，必须为四川省药械集中采购及医药价格监管平台挂网产品，并提供产品挂网商品代码及挂网截图。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3.若产品有多种规格型号且价格不同，投标人应将所有型号分项报价。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pStyle w:val="3"/>
        <w:numPr>
          <w:ilvl w:val="0"/>
          <w:numId w:val="0"/>
        </w:numPr>
        <w:spacing w:line="400" w:lineRule="exact"/>
        <w:ind w:leftChars="0"/>
        <w:jc w:val="both"/>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1.本项目的“年度预计用量” 、供应商的“响应总价”仅做为报价评审依据，结算以实际发生量乘以供应商响应单价结算。</w:t>
      </w: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7"/>
        <w:tblpPr w:leftFromText="180" w:rightFromText="180" w:vertAnchor="text" w:horzAnchor="page" w:tblpX="731" w:tblpY="894"/>
        <w:tblOverlap w:val="never"/>
        <w:tblW w:w="6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8"/>
        <w:gridCol w:w="1055"/>
        <w:gridCol w:w="710"/>
        <w:gridCol w:w="474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1.价格分：</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30</w:t>
            </w:r>
            <w:r>
              <w:rPr>
                <w:rFonts w:hint="eastAsia" w:ascii="宋体" w:hAnsi="宋体" w:eastAsia="宋体" w:cs="宋体"/>
                <w:color w:val="000000"/>
                <w:kern w:val="0"/>
                <w:sz w:val="18"/>
                <w:szCs w:val="18"/>
                <w:highlight w:val="none"/>
              </w:rPr>
              <w:t>分。其他供应商的价格分统一按照以下公式计算：价格分=(评审基准价／响应总价)×</w:t>
            </w:r>
            <w:r>
              <w:rPr>
                <w:rFonts w:hint="eastAsia" w:ascii="宋体" w:hAnsi="宋体" w:eastAsia="宋体" w:cs="宋体"/>
                <w:color w:val="000000"/>
                <w:kern w:val="0"/>
                <w:sz w:val="18"/>
                <w:szCs w:val="18"/>
                <w:highlight w:val="none"/>
                <w:lang w:val="en-US" w:eastAsia="zh-CN"/>
              </w:rPr>
              <w:t>30。</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2.响应总价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响应总价</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各项材料响应单价*预估年度用量之和</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2.响应单价为多种规格型号报价的平均价。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36</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完全符合磋商文件技术参数要求得</w:t>
            </w:r>
            <w:r>
              <w:rPr>
                <w:rFonts w:hint="eastAsia" w:ascii="宋体" w:hAnsi="宋体" w:eastAsia="宋体" w:cs="宋体"/>
                <w:color w:val="000000"/>
                <w:kern w:val="0"/>
                <w:sz w:val="18"/>
                <w:szCs w:val="18"/>
                <w:highlight w:val="none"/>
                <w:lang w:val="en-US" w:eastAsia="zh-CN"/>
              </w:rPr>
              <w:t>36</w:t>
            </w:r>
            <w:r>
              <w:rPr>
                <w:rFonts w:hint="eastAsia" w:ascii="宋体" w:hAnsi="宋体" w:eastAsia="宋体" w:cs="宋体"/>
                <w:color w:val="000000"/>
                <w:kern w:val="0"/>
                <w:sz w:val="18"/>
                <w:szCs w:val="18"/>
                <w:highlight w:val="none"/>
              </w:rPr>
              <w:t>分。▲号条款负偏离一项扣</w:t>
            </w:r>
            <w:r>
              <w:rPr>
                <w:rFonts w:hint="eastAsia" w:ascii="宋体" w:hAnsi="宋体" w:eastAsia="宋体" w:cs="宋体"/>
                <w:color w:val="000000"/>
                <w:kern w:val="0"/>
                <w:sz w:val="18"/>
                <w:szCs w:val="18"/>
                <w:highlight w:val="none"/>
                <w:lang w:val="en-US" w:eastAsia="zh-CN"/>
              </w:rPr>
              <w:t>6</w:t>
            </w:r>
            <w:r>
              <w:rPr>
                <w:rFonts w:hint="eastAsia" w:ascii="宋体" w:hAnsi="宋体" w:eastAsia="宋体" w:cs="宋体"/>
                <w:color w:val="000000"/>
                <w:kern w:val="0"/>
                <w:sz w:val="18"/>
                <w:szCs w:val="18"/>
                <w:highlight w:val="none"/>
              </w:rPr>
              <w:t>分，非▲号条款负偏离一项扣</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分，扣完为止。（▲号条款共</w:t>
            </w: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项，非▲号条款共</w:t>
            </w:r>
            <w:r>
              <w:rPr>
                <w:rFonts w:hint="eastAsia" w:ascii="宋体" w:hAnsi="宋体" w:eastAsia="宋体" w:cs="宋体"/>
                <w:color w:val="000000"/>
                <w:kern w:val="0"/>
                <w:sz w:val="18"/>
                <w:szCs w:val="18"/>
                <w:highlight w:val="none"/>
                <w:lang w:val="en-US" w:eastAsia="zh-CN"/>
              </w:rPr>
              <w:t>6</w:t>
            </w:r>
            <w:r>
              <w:rPr>
                <w:rFonts w:hint="eastAsia" w:ascii="宋体" w:hAnsi="宋体" w:eastAsia="宋体" w:cs="宋体"/>
                <w:color w:val="000000"/>
                <w:kern w:val="0"/>
                <w:sz w:val="18"/>
                <w:szCs w:val="18"/>
                <w:highlight w:val="none"/>
              </w:rPr>
              <w:t>项）。</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（1）技术条款需提供所响应产品说明书作为证明文件。</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（2）如技术指标在响应文件中未对应出现或在响应文件中存在自相矛盾之处或未提供的不得分。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提供响应产品2020年1月1日以来国内三甲医疗机构业绩证明，每提供1个业绩得1分，最多得10分。</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注：提供销售采购合同</w:t>
            </w:r>
            <w:r>
              <w:rPr>
                <w:rFonts w:hint="eastAsia" w:ascii="宋体" w:hAnsi="宋体" w:eastAsia="宋体" w:cs="宋体"/>
                <w:color w:val="000000"/>
                <w:kern w:val="0"/>
                <w:sz w:val="18"/>
                <w:szCs w:val="18"/>
                <w:highlight w:val="none"/>
                <w:lang w:val="en-US" w:eastAsia="zh-CN"/>
              </w:rPr>
              <w:t>和</w:t>
            </w:r>
            <w:r>
              <w:rPr>
                <w:rFonts w:hint="eastAsia" w:ascii="宋体" w:hAnsi="宋体" w:eastAsia="宋体" w:cs="宋体"/>
                <w:color w:val="000000"/>
                <w:kern w:val="0"/>
                <w:sz w:val="18"/>
                <w:szCs w:val="18"/>
                <w:highlight w:val="none"/>
              </w:rPr>
              <w:t>发票复印件加盖投标人公章。</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注：</w:t>
            </w:r>
            <w:r>
              <w:rPr>
                <w:rFonts w:hint="eastAsia" w:ascii="宋体" w:hAnsi="宋体" w:eastAsia="宋体" w:cs="宋体"/>
                <w:color w:val="000000"/>
                <w:kern w:val="0"/>
                <w:sz w:val="18"/>
                <w:szCs w:val="18"/>
                <w:highlight w:val="none"/>
              </w:rPr>
              <w:t>若发票复印件上无产品明细则需附销货清单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非三甲医疗机构业绩证明请勿提供。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512"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样品评分</w:t>
            </w:r>
          </w:p>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44"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lang w:val="en-US" w:eastAsia="zh-CN"/>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根据响应产品样品，从样品的外观、材质、性能3个方面进行评价，每有1个方面不符合临床需求的扣4分，扣完为止。未提供样品的不得分。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样品的供应商名称或生产厂家名称或品牌等字样及图案遮挡不全不得分。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51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根据供应商提供的售后服务方案，包含：</w:t>
            </w:r>
            <w:r>
              <w:rPr>
                <w:rFonts w:hint="eastAsia" w:ascii="宋体" w:hAnsi="宋体" w:eastAsia="宋体" w:cs="宋体"/>
                <w:color w:val="000000"/>
                <w:kern w:val="0"/>
                <w:sz w:val="18"/>
                <w:szCs w:val="18"/>
              </w:rPr>
              <w:t>【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highlight w:val="none"/>
              </w:rPr>
              <w:t>符合本项目实际情况、有利于项目实施的得</w:t>
            </w:r>
            <w:r>
              <w:rPr>
                <w:rFonts w:hint="eastAsia" w:ascii="宋体" w:hAnsi="宋体" w:eastAsia="宋体" w:cs="宋体"/>
                <w:color w:val="000000"/>
                <w:kern w:val="0"/>
                <w:sz w:val="18"/>
                <w:szCs w:val="18"/>
                <w:highlight w:val="none"/>
                <w:lang w:val="en-US" w:eastAsia="zh-CN"/>
              </w:rPr>
              <w:t>12</w:t>
            </w:r>
            <w:r>
              <w:rPr>
                <w:rFonts w:hint="eastAsia" w:ascii="宋体" w:hAnsi="宋体" w:eastAsia="宋体" w:cs="宋体"/>
                <w:color w:val="000000"/>
                <w:kern w:val="0"/>
                <w:sz w:val="18"/>
                <w:szCs w:val="18"/>
                <w:highlight w:val="none"/>
              </w:rPr>
              <w:t>分；每缺少一项或提供的方案与本项目无关的扣</w:t>
            </w: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分；每有一项存在缺陷或漏洞的，且不利于项目实施的扣</w:t>
            </w:r>
            <w:r>
              <w:rPr>
                <w:rFonts w:hint="eastAsia" w:ascii="宋体" w:hAnsi="宋体" w:eastAsia="宋体" w:cs="宋体"/>
                <w:color w:val="000000"/>
                <w:kern w:val="0"/>
                <w:sz w:val="18"/>
                <w:szCs w:val="18"/>
                <w:highlight w:val="none"/>
                <w:lang w:val="en-US" w:eastAsia="zh-CN"/>
              </w:rPr>
              <w:t>1.5</w:t>
            </w:r>
            <w:r>
              <w:rPr>
                <w:rFonts w:hint="eastAsia" w:ascii="宋体" w:hAnsi="宋体" w:eastAsia="宋体" w:cs="宋体"/>
                <w:color w:val="000000"/>
                <w:kern w:val="0"/>
                <w:sz w:val="18"/>
                <w:szCs w:val="18"/>
                <w:highlight w:val="none"/>
              </w:rPr>
              <w:t xml:space="preserve">分，分值扣完为止。 </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pPr>
        <w:widowControl/>
        <w:jc w:val="left"/>
        <w:rPr>
          <w:rFonts w:hint="eastAsia"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8478" w:type="dxa"/>
        <w:jc w:val="center"/>
        <w:tblLayout w:type="autofit"/>
        <w:tblCellMar>
          <w:top w:w="0" w:type="dxa"/>
          <w:left w:w="0" w:type="dxa"/>
          <w:bottom w:w="0" w:type="dxa"/>
          <w:right w:w="0" w:type="dxa"/>
        </w:tblCellMar>
      </w:tblPr>
      <w:tblGrid>
        <w:gridCol w:w="1056"/>
        <w:gridCol w:w="2448"/>
        <w:gridCol w:w="1752"/>
        <w:gridCol w:w="1624"/>
        <w:gridCol w:w="1598"/>
      </w:tblGrid>
      <w:tr>
        <w:trPr>
          <w:trHeight w:val="687" w:hRule="atLeast"/>
          <w:jc w:val="center"/>
        </w:trPr>
        <w:tc>
          <w:tcPr>
            <w:tcW w:w="105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序号</w:t>
            </w:r>
          </w:p>
        </w:tc>
        <w:tc>
          <w:tcPr>
            <w:tcW w:w="24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单位用户名称</w:t>
            </w:r>
          </w:p>
        </w:tc>
        <w:tc>
          <w:tcPr>
            <w:tcW w:w="17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合同时间</w:t>
            </w:r>
          </w:p>
        </w:tc>
        <w:tc>
          <w:tcPr>
            <w:tcW w:w="1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联系人及联系方式</w:t>
            </w:r>
          </w:p>
        </w:tc>
        <w:tc>
          <w:tcPr>
            <w:tcW w:w="1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98"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1" w:name="_Toc95295163"/>
      <w:bookmarkEnd w:id="1"/>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7"/>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产品挂网代码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60</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eastAsia"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2"/>
        <w:rPr>
          <w:rFonts w:hint="eastAsia"/>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2"/>
        </w:numPr>
        <w:shd w:val="clear" w:color="auto" w:fill="FFFFFF"/>
        <w:wordWrap w:val="0"/>
        <w:jc w:val="left"/>
        <w:rPr>
          <w:rFonts w:hint="eastAsia" w:ascii="仿宋_GB2312" w:hAnsi="Segoe UI" w:eastAsia="仿宋_GB2312" w:cs="Segoe UI"/>
          <w:b/>
          <w:bCs/>
          <w:color w:val="FF0000"/>
          <w:kern w:val="0"/>
          <w:sz w:val="24"/>
          <w:szCs w:val="24"/>
          <w:lang w:val="en-US" w:eastAsia="zh-CN"/>
        </w:rPr>
      </w:pPr>
      <w:r>
        <w:rPr>
          <w:rFonts w:hint="eastAsia" w:ascii="仿宋_GB2312" w:hAnsi="Segoe UI" w:eastAsia="仿宋_GB2312" w:cs="Segoe UI"/>
          <w:b/>
          <w:bCs/>
          <w:color w:val="FF0000"/>
          <w:kern w:val="0"/>
          <w:sz w:val="24"/>
          <w:szCs w:val="24"/>
          <w:lang w:val="en-US" w:eastAsia="zh-CN"/>
        </w:rPr>
        <w:t>采购会议磋商时，供应商需携带U盘，提供报价表电子版。</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2"/>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A8A"/>
    <w:multiLevelType w:val="singleLevel"/>
    <w:tmpl w:val="0BB43A8A"/>
    <w:lvl w:ilvl="0" w:tentative="0">
      <w:start w:val="1"/>
      <w:numFmt w:val="chineseCounting"/>
      <w:suff w:val="nothing"/>
      <w:lvlText w:val="（%1）"/>
      <w:lvlJc w:val="left"/>
      <w:rPr>
        <w:rFonts w:hint="eastAsia"/>
      </w:rPr>
    </w:lvl>
  </w:abstractNum>
  <w:abstractNum w:abstractNumId="1">
    <w:nsid w:val="795CA05F"/>
    <w:multiLevelType w:val="singleLevel"/>
    <w:tmpl w:val="795CA0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67F764F"/>
    <w:rsid w:val="08D2481D"/>
    <w:rsid w:val="09883DB3"/>
    <w:rsid w:val="09EC7CBF"/>
    <w:rsid w:val="12C40D67"/>
    <w:rsid w:val="14B40435"/>
    <w:rsid w:val="14DC0F1A"/>
    <w:rsid w:val="15B626DC"/>
    <w:rsid w:val="1A707F41"/>
    <w:rsid w:val="1C976D54"/>
    <w:rsid w:val="1DE05766"/>
    <w:rsid w:val="1E997E27"/>
    <w:rsid w:val="22827069"/>
    <w:rsid w:val="25933A00"/>
    <w:rsid w:val="2ACE5E86"/>
    <w:rsid w:val="33875D6B"/>
    <w:rsid w:val="35E40AE0"/>
    <w:rsid w:val="362C60DD"/>
    <w:rsid w:val="395149AF"/>
    <w:rsid w:val="3A694155"/>
    <w:rsid w:val="3C245962"/>
    <w:rsid w:val="3DA970F6"/>
    <w:rsid w:val="3DE462AE"/>
    <w:rsid w:val="43DD0089"/>
    <w:rsid w:val="491346CF"/>
    <w:rsid w:val="57C06FDC"/>
    <w:rsid w:val="5C4B0A19"/>
    <w:rsid w:val="63D266D5"/>
    <w:rsid w:val="644B796F"/>
    <w:rsid w:val="6A6D2706"/>
    <w:rsid w:val="70641CCB"/>
    <w:rsid w:val="719548CE"/>
    <w:rsid w:val="734A410E"/>
    <w:rsid w:val="73F965D8"/>
    <w:rsid w:val="7A26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2</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2023-02-22T03:18:00Z</cp:lastPrinted>
  <dcterms:modified xsi:type="dcterms:W3CDTF">2023-05-22T03:06:44Z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