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572"/>
        <w:gridCol w:w="52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肿瘤标志物联合检测试剂</w:t>
            </w:r>
          </w:p>
        </w:tc>
        <w:tc>
          <w:tcPr>
            <w:tcW w:w="5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肿瘤标志物联合检测试剂包括胃蛋白酶原（PG I/II）、人绒毛膜促性腺激素β亚单位（bHCG）、胃泌素释放肽前体(proGRP)、癌胚抗原（CEA）、甲胎蛋白（AFP）、前列腺特异性抗原（fPSA/TPSA）、神经原特异性烯醇化酶（NSE）、细胞角蛋白片段19（Cyfra21-1）、糖类抗原（CA199）、糖类抗原（CA125）、糖类抗原（CA153）、糖类抗原（CA72-4）等项目，主要用于多项肿瘤标志物联合检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胃功能检测试剂</w:t>
            </w:r>
          </w:p>
        </w:tc>
        <w:tc>
          <w:tcPr>
            <w:tcW w:w="5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包括幽门螺杆菌分型（尿素酶Ure+细胞毒素CagA+空泡毒素VacA）、胃泌素17（G17）、胃蛋白酶原I（PGI）、胃蛋白酶原II（PGII）；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对羟基苯丙氨酸（酪氨酸）尿液检测试剂</w:t>
            </w:r>
          </w:p>
        </w:tc>
        <w:tc>
          <w:tcPr>
            <w:tcW w:w="5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拟用于代谢类疾病或癌症（临床多发的消化系统，呼吸系统癌症和妇科常见癌症等）的筛查；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调研要求：</w:t>
      </w:r>
    </w:p>
    <w:p>
      <w:pPr>
        <w:widowControl/>
        <w:numPr>
          <w:numId w:val="0"/>
        </w:numPr>
        <w:spacing w:line="40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  <w:t>供应商明确试剂检测方法，若属于专机专用试剂则明确配套检测仪器品牌型号及成本；</w:t>
      </w:r>
    </w:p>
    <w:p>
      <w:pPr>
        <w:widowControl/>
        <w:numPr>
          <w:numId w:val="0"/>
        </w:numPr>
        <w:spacing w:line="40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numId w:val="0"/>
        </w:numPr>
        <w:spacing w:line="40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numId w:val="0"/>
        </w:numPr>
        <w:spacing w:line="40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numId w:val="0"/>
        </w:numPr>
        <w:spacing w:line="40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atLeast"/>
        <w:jc w:val="left"/>
        <w:rPr>
          <w:rFonts w:hint="default" w:ascii="宋体" w:hAnsi="宋体" w:cs="宋体"/>
          <w:b w:val="0"/>
          <w:bCs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8A1F4E"/>
    <w:rsid w:val="02BE1F00"/>
    <w:rsid w:val="052C66ED"/>
    <w:rsid w:val="05937210"/>
    <w:rsid w:val="09076CFD"/>
    <w:rsid w:val="0A803A00"/>
    <w:rsid w:val="0BC03692"/>
    <w:rsid w:val="0BE80E0B"/>
    <w:rsid w:val="0BF0640A"/>
    <w:rsid w:val="0C4117CA"/>
    <w:rsid w:val="0CFC6DA8"/>
    <w:rsid w:val="10470E46"/>
    <w:rsid w:val="12A0744D"/>
    <w:rsid w:val="184474F2"/>
    <w:rsid w:val="1AB11A97"/>
    <w:rsid w:val="1F9313DC"/>
    <w:rsid w:val="1FCC6508"/>
    <w:rsid w:val="22C7074A"/>
    <w:rsid w:val="254E6458"/>
    <w:rsid w:val="25B92429"/>
    <w:rsid w:val="2A9D7076"/>
    <w:rsid w:val="2BC34039"/>
    <w:rsid w:val="2D027A9D"/>
    <w:rsid w:val="2E2530A8"/>
    <w:rsid w:val="300458A9"/>
    <w:rsid w:val="301476B5"/>
    <w:rsid w:val="3616094C"/>
    <w:rsid w:val="38E36B7C"/>
    <w:rsid w:val="390302F7"/>
    <w:rsid w:val="3E4D053B"/>
    <w:rsid w:val="4098320D"/>
    <w:rsid w:val="45ED2D32"/>
    <w:rsid w:val="491C582B"/>
    <w:rsid w:val="4CBA4451"/>
    <w:rsid w:val="4D765AC4"/>
    <w:rsid w:val="50777CD8"/>
    <w:rsid w:val="525C6EC0"/>
    <w:rsid w:val="546C11D1"/>
    <w:rsid w:val="56253192"/>
    <w:rsid w:val="588E7995"/>
    <w:rsid w:val="5CB73027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126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2023-06-06T00:48:05Z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