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附件1 采购需求</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w:t>
      </w:r>
      <w:r>
        <w:rPr>
          <w:rFonts w:hint="eastAsia" w:ascii="宋体" w:hAnsi="宋体" w:eastAsia="宋体" w:cs="宋体"/>
          <w:i w:val="0"/>
          <w:iCs w:val="0"/>
          <w:caps w:val="0"/>
          <w:color w:val="555555"/>
          <w:spacing w:val="0"/>
          <w:sz w:val="24"/>
          <w:szCs w:val="24"/>
          <w:shd w:val="clear" w:color="auto" w:fill="FFFFFF"/>
          <w:lang w:val="en-US" w:eastAsia="zh-CN"/>
        </w:rPr>
        <w:t>天府生物城院区道路交通标识采购项目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质保期3年，从安装验收合格之日起计算。</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lang w:val="en-US" w:eastAsia="zh-CN"/>
        </w:rPr>
        <w:t>3.最高限价：</w:t>
      </w:r>
      <w:r>
        <w:rPr>
          <w:rFonts w:hint="eastAsia" w:ascii="宋体" w:hAnsi="宋体" w:eastAsia="宋体" w:cs="宋体"/>
          <w:b w:val="0"/>
          <w:i w:val="0"/>
          <w:caps w:val="0"/>
          <w:color w:val="auto"/>
          <w:spacing w:val="0"/>
          <w:w w:val="100"/>
          <w:sz w:val="24"/>
          <w:szCs w:val="24"/>
          <w:lang w:val="en-US" w:eastAsia="zh-CN"/>
        </w:rPr>
        <w:t>200000元</w:t>
      </w:r>
      <w:r>
        <w:rPr>
          <w:rFonts w:hint="eastAsia" w:ascii="宋体" w:hAnsi="宋体" w:eastAsia="宋体" w:cs="宋体"/>
          <w:b w:val="0"/>
          <w:i w:val="0"/>
          <w:caps w:val="0"/>
          <w:color w:val="auto"/>
          <w:spacing w:val="0"/>
          <w:w w:val="100"/>
          <w:sz w:val="24"/>
          <w:szCs w:val="24"/>
          <w:lang w:val="en-US" w:eastAsia="zh-CN"/>
        </w:rPr>
        <w:t>/年</w:t>
      </w:r>
      <w:r>
        <w:rPr>
          <w:rFonts w:hint="eastAsia" w:ascii="宋体" w:hAnsi="宋体" w:eastAsia="宋体" w:cs="宋体"/>
          <w:b w:val="0"/>
          <w:i w:val="0"/>
          <w:caps w:val="0"/>
          <w:spacing w:val="0"/>
          <w:w w:val="100"/>
          <w:sz w:val="24"/>
          <w:szCs w:val="24"/>
          <w:lang w:val="en-US" w:eastAsia="zh-CN"/>
        </w:rPr>
        <w:t>。</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val="en-US" w:eastAsia="zh-CN"/>
        </w:rPr>
        <w:t>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投标人应根据成都市交通管理局《中心城区告示标志、旅游区标志设置规定》，将此次我院采购道路标识，按照“成都市公安局双流区分局交警大队关于四川省妇幼保健院天府国际生物城院区申请设立交通导示标识牌申请的批复”的附件具体点位进行施工安装。</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.要求：在质保期内，负责所有安装的标识安全使用和日常维护，及时消除标识歪、斜、倒、破损、缺失、污损、锈蚀、结构件的位置偏移、基础松动、紧固件结构件松动等安全隐患。</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采购清单</w:t>
      </w:r>
      <w:r>
        <w:rPr>
          <w:rFonts w:hint="eastAsia" w:ascii="宋体" w:hAnsi="宋体" w:eastAsia="宋体" w:cs="宋体"/>
          <w:sz w:val="24"/>
          <w:szCs w:val="24"/>
        </w:rPr>
        <w:t>表</w:t>
      </w:r>
      <w:r>
        <w:rPr>
          <w:rFonts w:hint="eastAsia" w:ascii="宋体" w:hAnsi="宋体" w:eastAsia="宋体" w:cs="宋体"/>
          <w:b/>
          <w:bCs/>
          <w:i w:val="0"/>
          <w:caps w:val="0"/>
          <w:spacing w:val="0"/>
          <w:w w:val="100"/>
          <w:sz w:val="24"/>
          <w:szCs w:val="24"/>
          <w:lang w:val="en-US" w:eastAsia="zh-CN"/>
        </w:rPr>
        <w:t>（单位mm）</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3.1附着标志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数量：1套；规格：3600*1800*3；说明：单面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技术参数：标牌材质铝板，厚度2；滑槽厚度80*2；反光膜：Ⅳ类，3M工程级；抱箍：50*4。</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876935</wp:posOffset>
            </wp:positionH>
            <wp:positionV relativeFrom="paragraph">
              <wp:posOffset>92710</wp:posOffset>
            </wp:positionV>
            <wp:extent cx="3535680" cy="1562735"/>
            <wp:effectExtent l="0" t="0" r="762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35680" cy="15627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3.2单柱标志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数量：5套；规格：1500*2500*3；说明：单面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技术参数：标牌材质铝板，厚度2；立柱材质镀锌管：Φ159*5*5200；加劲/底座法兰：500*700*16/5；地脚螺栓4*M20*1000；反光膜：Ⅳ类，3M工程级；滑槽厚度80*2；</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抱箍：50*4。</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837565</wp:posOffset>
            </wp:positionH>
            <wp:positionV relativeFrom="paragraph">
              <wp:posOffset>144780</wp:posOffset>
            </wp:positionV>
            <wp:extent cx="3609340" cy="1343660"/>
            <wp:effectExtent l="0" t="0" r="10160" b="889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609340" cy="134366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3.3悬臂标志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数量：5套；规格：3600*1800*3；说明：单面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技术参数：标牌材质铝板，厚度2；立柱材质热浸镀锌管： φ273×10×7300；                                                                                                                                                                                                                                                                                                                                             横梁φ152×5×4850；支撑柱φ152×5×543；加劲/底座法兰：800*800*20/6；地脚螺栓12*m27*1200；反光膜：Ⅳ类，3M工程级；滑槽厚度100*4；抱箍：50*5。</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1409700</wp:posOffset>
            </wp:positionH>
            <wp:positionV relativeFrom="paragraph">
              <wp:posOffset>86995</wp:posOffset>
            </wp:positionV>
            <wp:extent cx="2265680" cy="1592580"/>
            <wp:effectExtent l="0" t="0" r="127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265680" cy="15925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3.4悬臂标志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数量：1套；规格：3600*1800*3；说明：双面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技术参数：标牌材质铝板，厚度2；立柱材质热浸镀锌管： φ273×10×7300；                                                                                                                                                                                                                                                                                                                                             横梁φ152×5×4850；支撑柱φ152×5×543；加劲/底座法兰：800*800*20/6；地脚螺栓12*m27*1200；反光膜：Ⅳ类，3M工程级；滑槽厚度100*4；抱箍：50*5。</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1076325</wp:posOffset>
            </wp:positionH>
            <wp:positionV relativeFrom="paragraph">
              <wp:posOffset>73025</wp:posOffset>
            </wp:positionV>
            <wp:extent cx="2265680" cy="1592580"/>
            <wp:effectExtent l="0" t="0" r="1270" b="762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2265680" cy="15925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1.由</w:t>
      </w:r>
      <w:r>
        <w:rPr>
          <w:rFonts w:hint="eastAsia" w:ascii="宋体" w:hAnsi="宋体" w:eastAsia="宋体" w:cs="宋体"/>
          <w:color w:val="000000"/>
          <w:kern w:val="0"/>
          <w:sz w:val="24"/>
          <w:szCs w:val="24"/>
          <w:lang w:val="en-US" w:eastAsia="zh-CN"/>
        </w:rPr>
        <w:t>后勤保障部组织</w:t>
      </w:r>
      <w:r>
        <w:rPr>
          <w:rFonts w:hint="eastAsia" w:ascii="宋体" w:hAnsi="宋体" w:eastAsia="宋体" w:cs="宋体"/>
          <w:color w:val="000000"/>
          <w:kern w:val="0"/>
          <w:sz w:val="24"/>
          <w:szCs w:val="24"/>
        </w:rPr>
        <w:t>成立评审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，对投标文件进行</w:t>
      </w: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本项目采用</w:t>
      </w:r>
      <w:r>
        <w:rPr>
          <w:rFonts w:hint="eastAsia" w:ascii="宋体" w:hAnsi="宋体" w:eastAsia="宋体" w:cs="宋体"/>
          <w:color w:val="000000"/>
          <w:kern w:val="0"/>
          <w:sz w:val="24"/>
          <w:szCs w:val="24"/>
          <w:lang w:val="en-US" w:eastAsia="zh-CN"/>
        </w:rPr>
        <w:t>综合评分法</w:t>
      </w: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000000"/>
          <w:kern w:val="0"/>
          <w:sz w:val="24"/>
          <w:szCs w:val="24"/>
          <w:lang w:val="en-US" w:eastAsia="zh-CN"/>
        </w:rPr>
        <w:t>得分最高</w:t>
      </w:r>
      <w:r>
        <w:rPr>
          <w:rFonts w:hint="eastAsia" w:ascii="宋体" w:hAnsi="宋体" w:eastAsia="宋体" w:cs="宋体"/>
          <w:color w:val="000000"/>
          <w:kern w:val="0"/>
          <w:sz w:val="24"/>
          <w:szCs w:val="24"/>
        </w:rPr>
        <w:t>原则确定成交供应商</w:t>
      </w:r>
      <w:r>
        <w:rPr>
          <w:rFonts w:hint="eastAsia" w:ascii="宋体" w:hAnsi="宋体" w:eastAsia="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评分标准</w:t>
      </w:r>
    </w:p>
    <w:tbl>
      <w:tblPr>
        <w:tblStyle w:val="11"/>
        <w:tblW w:w="97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3"/>
        <w:gridCol w:w="1290"/>
        <w:gridCol w:w="791"/>
        <w:gridCol w:w="6355"/>
        <w:gridCol w:w="7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评分因素及权重</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ind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报价</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textAlignment w:val="baseline"/>
              <w:rPr>
                <w:rFonts w:hint="eastAsia" w:ascii="宋体" w:hAnsi="宋体" w:eastAsia="宋体" w:cs="宋体"/>
                <w:kern w:val="0"/>
                <w:sz w:val="24"/>
                <w:szCs w:val="24"/>
              </w:rPr>
            </w:pPr>
            <w:r>
              <w:rPr>
                <w:rFonts w:hint="eastAsia" w:ascii="宋体" w:hAnsi="宋体" w:eastAsia="宋体" w:cs="宋体"/>
                <w:bCs/>
                <w:color w:val="auto"/>
                <w:sz w:val="24"/>
                <w:szCs w:val="24"/>
                <w:lang w:val="en-US"/>
              </w:rPr>
              <w:t>满</w:t>
            </w:r>
            <w:r>
              <w:rPr>
                <w:rFonts w:hint="eastAsia" w:ascii="宋体" w:hAnsi="宋体" w:eastAsia="宋体" w:cs="宋体"/>
                <w:bCs/>
                <w:color w:val="auto"/>
                <w:sz w:val="24"/>
                <w:szCs w:val="24"/>
                <w:lang w:val="en-US" w:eastAsia="zh-CN"/>
              </w:rPr>
              <w:t>足比选</w:t>
            </w:r>
            <w:r>
              <w:rPr>
                <w:rFonts w:hint="eastAsia" w:ascii="宋体" w:hAnsi="宋体" w:eastAsia="宋体" w:cs="宋体"/>
                <w:bCs/>
                <w:color w:val="auto"/>
                <w:sz w:val="24"/>
                <w:szCs w:val="24"/>
                <w:lang w:val="en-US"/>
              </w:rPr>
              <w:t>文件要求且</w:t>
            </w:r>
            <w:r>
              <w:rPr>
                <w:rFonts w:hint="eastAsia" w:ascii="宋体" w:hAnsi="宋体" w:eastAsia="宋体" w:cs="宋体"/>
                <w:bCs/>
                <w:color w:val="auto"/>
                <w:sz w:val="24"/>
                <w:szCs w:val="24"/>
                <w:lang w:val="en-US" w:eastAsia="zh-CN"/>
              </w:rPr>
              <w:t>所有比选人</w:t>
            </w:r>
            <w:r>
              <w:rPr>
                <w:rFonts w:hint="eastAsia" w:ascii="宋体" w:hAnsi="宋体" w:eastAsia="宋体" w:cs="宋体"/>
                <w:bCs/>
                <w:color w:val="auto"/>
                <w:sz w:val="24"/>
                <w:szCs w:val="24"/>
                <w:lang w:val="en-US"/>
              </w:rPr>
              <w:t>最后报价</w:t>
            </w:r>
            <w:r>
              <w:rPr>
                <w:rFonts w:hint="eastAsia" w:ascii="宋体" w:hAnsi="宋体" w:eastAsia="宋体" w:cs="宋体"/>
                <w:bCs/>
                <w:color w:val="auto"/>
                <w:sz w:val="24"/>
                <w:szCs w:val="24"/>
                <w:lang w:val="en-US" w:eastAsia="zh-CN"/>
              </w:rPr>
              <w:t>的平均值为</w:t>
            </w:r>
            <w:r>
              <w:rPr>
                <w:rFonts w:hint="eastAsia" w:ascii="宋体" w:hAnsi="宋体" w:eastAsia="宋体" w:cs="宋体"/>
                <w:bCs/>
                <w:color w:val="auto"/>
                <w:sz w:val="24"/>
                <w:szCs w:val="24"/>
                <w:lang w:val="en-US"/>
              </w:rPr>
              <w:t>基准价，</w:t>
            </w:r>
            <w:r>
              <w:rPr>
                <w:rFonts w:hint="eastAsia" w:ascii="宋体" w:hAnsi="宋体" w:eastAsia="宋体" w:cs="宋体"/>
                <w:bCs/>
                <w:color w:val="auto"/>
                <w:sz w:val="24"/>
                <w:szCs w:val="24"/>
                <w:lang w:val="en-US" w:eastAsia="zh-CN"/>
              </w:rPr>
              <w:t>等于基准价的其</w:t>
            </w:r>
            <w:r>
              <w:rPr>
                <w:rFonts w:hint="eastAsia" w:ascii="宋体" w:hAnsi="宋体" w:eastAsia="宋体" w:cs="宋体"/>
                <w:bCs/>
                <w:color w:val="auto"/>
                <w:sz w:val="24"/>
                <w:szCs w:val="24"/>
                <w:lang w:val="en-US"/>
              </w:rPr>
              <w:t>价格分为满分。其他供应商的价格分统一按照下列公式计算：</w:t>
            </w:r>
            <w:r>
              <w:rPr>
                <w:rFonts w:hint="eastAsia" w:ascii="宋体" w:hAnsi="宋体" w:eastAsia="宋体" w:cs="宋体"/>
                <w:color w:val="000000"/>
                <w:kern w:val="0"/>
                <w:sz w:val="24"/>
                <w:szCs w:val="24"/>
                <w:lang w:bidi="ar"/>
              </w:rPr>
              <w:t>报价每高于平均价1个百分点，则扣减1分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每低于平均价1个百分点，则扣减0.5分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不足1%按1%计，最低扣至0分为止。</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textAlignment w:val="baseline"/>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产品技术参数及要求</w:t>
            </w:r>
          </w:p>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val="0"/>
              <w:spacing w:after="120" w:line="36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rPr>
              <w:t>比选</w:t>
            </w:r>
            <w:r>
              <w:rPr>
                <w:rFonts w:hint="eastAsia" w:ascii="宋体" w:hAnsi="宋体" w:eastAsia="宋体" w:cs="宋体"/>
                <w:kern w:val="0"/>
                <w:sz w:val="24"/>
                <w:szCs w:val="24"/>
                <w:lang w:eastAsia="zh-CN"/>
              </w:rPr>
              <w:t>人</w:t>
            </w:r>
            <w:r>
              <w:rPr>
                <w:rFonts w:hint="eastAsia" w:ascii="宋体" w:hAnsi="宋体" w:eastAsia="宋体" w:cs="宋体"/>
                <w:b w:val="0"/>
                <w:bCs/>
                <w:sz w:val="24"/>
                <w:szCs w:val="24"/>
                <w:lang w:val="en-US"/>
              </w:rPr>
              <w:t>响应</w:t>
            </w:r>
            <w:r>
              <w:rPr>
                <w:rFonts w:hint="eastAsia" w:ascii="宋体" w:hAnsi="宋体" w:eastAsia="宋体" w:cs="宋体"/>
                <w:b w:val="0"/>
                <w:bCs/>
                <w:sz w:val="24"/>
                <w:szCs w:val="24"/>
                <w:lang w:val="en-US" w:eastAsia="zh-CN"/>
              </w:rPr>
              <w:t>文件</w:t>
            </w:r>
            <w:r>
              <w:rPr>
                <w:rFonts w:hint="eastAsia" w:ascii="宋体" w:hAnsi="宋体" w:eastAsia="宋体" w:cs="宋体"/>
                <w:kern w:val="0"/>
                <w:sz w:val="24"/>
                <w:szCs w:val="24"/>
                <w:lang w:eastAsia="zh-CN"/>
              </w:rPr>
              <w:t>的技术参数完全满足招标文件</w:t>
            </w:r>
            <w:r>
              <w:rPr>
                <w:rFonts w:hint="eastAsia" w:ascii="宋体" w:hAnsi="宋体" w:eastAsia="宋体" w:cs="宋体"/>
                <w:b w:val="0"/>
                <w:bCs w:val="0"/>
                <w:kern w:val="0"/>
                <w:sz w:val="24"/>
                <w:szCs w:val="24"/>
                <w:lang w:val="en-US" w:eastAsia="zh-CN"/>
              </w:rPr>
              <w:t>采购需求清单</w:t>
            </w:r>
            <w:r>
              <w:rPr>
                <w:rFonts w:hint="eastAsia" w:ascii="宋体" w:hAnsi="宋体" w:eastAsia="宋体" w:cs="宋体"/>
                <w:kern w:val="0"/>
                <w:sz w:val="24"/>
                <w:szCs w:val="24"/>
                <w:lang w:eastAsia="zh-CN"/>
              </w:rPr>
              <w:t>中</w:t>
            </w:r>
            <w:r>
              <w:rPr>
                <w:rFonts w:hint="eastAsia" w:ascii="宋体" w:hAnsi="宋体" w:eastAsia="宋体" w:cs="宋体"/>
                <w:kern w:val="0"/>
                <w:sz w:val="24"/>
                <w:szCs w:val="24"/>
                <w:lang w:val="en-US" w:eastAsia="zh-CN"/>
              </w:rPr>
              <w:t>所有</w:t>
            </w:r>
            <w:r>
              <w:rPr>
                <w:rFonts w:hint="eastAsia" w:ascii="宋体" w:hAnsi="宋体" w:eastAsia="宋体" w:cs="宋体"/>
                <w:kern w:val="0"/>
                <w:sz w:val="24"/>
                <w:szCs w:val="24"/>
                <w:lang w:eastAsia="zh-CN"/>
              </w:rPr>
              <w:t>技术参数要求的得</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lang w:eastAsia="zh-CN"/>
              </w:rPr>
              <w:t>分。</w:t>
            </w:r>
            <w:r>
              <w:rPr>
                <w:rFonts w:hint="eastAsia" w:ascii="宋体" w:hAnsi="宋体" w:eastAsia="宋体" w:cs="宋体"/>
                <w:sz w:val="24"/>
                <w:szCs w:val="24"/>
                <w:lang w:val="en-US" w:eastAsia="zh-CN" w:bidi="ar"/>
              </w:rPr>
              <w:t>（说明：此项需在技术响应表中正、负、无偏离应答，要求提供证明材料的应当提供，有一项负偏离则扣1分，扣完为止</w:t>
            </w:r>
            <w:r>
              <w:rPr>
                <w:rFonts w:hint="eastAsia" w:ascii="宋体" w:hAnsi="宋体" w:eastAsia="宋体" w:cs="宋体"/>
                <w:color w:val="auto"/>
                <w:kern w:val="0"/>
                <w:sz w:val="24"/>
                <w:szCs w:val="24"/>
                <w:lang w:val="en-US" w:eastAsia="zh-CN"/>
              </w:rPr>
              <w:t>。</w:t>
            </w:r>
            <w:r>
              <w:rPr>
                <w:rFonts w:hint="eastAsia" w:ascii="宋体" w:hAnsi="宋体" w:eastAsia="宋体" w:cs="宋体"/>
                <w:sz w:val="24"/>
                <w:szCs w:val="24"/>
                <w:lang w:val="en-US" w:eastAsia="zh-CN" w:bidi="ar"/>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pStyle w:val="40"/>
              <w:keepNext w:val="0"/>
              <w:keepLines w:val="0"/>
              <w:pageBreakBefore w:val="0"/>
              <w:widowControl/>
              <w:tabs>
                <w:tab w:val="left" w:pos="1418"/>
              </w:tabs>
              <w:kinsoku/>
              <w:wordWrap/>
              <w:overflowPunct/>
              <w:topLinePunct w:val="0"/>
              <w:bidi w:val="0"/>
              <w:spacing w:line="360" w:lineRule="auto"/>
              <w:ind w:firstLine="0" w:firstLineChars="0"/>
              <w:textAlignment w:val="baseline"/>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b w:val="0"/>
                <w:color w:val="auto"/>
                <w:spacing w:val="-8"/>
                <w:kern w:val="2"/>
                <w:sz w:val="24"/>
                <w:szCs w:val="24"/>
                <w:highlight w:val="none"/>
              </w:rPr>
              <w:t>项目实施方案</w:t>
            </w:r>
          </w:p>
        </w:tc>
        <w:tc>
          <w:tcPr>
            <w:tcW w:w="791"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b w:val="0"/>
                <w:color w:val="auto"/>
                <w:spacing w:val="-8"/>
                <w:kern w:val="2"/>
                <w:sz w:val="24"/>
                <w:szCs w:val="24"/>
                <w:highlight w:val="none"/>
                <w:lang w:val="en-US" w:eastAsia="zh-CN"/>
              </w:rPr>
              <w:t>1</w:t>
            </w:r>
            <w:r>
              <w:rPr>
                <w:rFonts w:hint="eastAsia" w:ascii="宋体" w:hAnsi="宋体" w:eastAsia="宋体" w:cs="宋体"/>
                <w:b w:val="0"/>
                <w:color w:val="auto"/>
                <w:spacing w:val="-8"/>
                <w:kern w:val="2"/>
                <w:sz w:val="24"/>
                <w:szCs w:val="24"/>
                <w:highlight w:val="none"/>
                <w:lang w:val="en-US" w:eastAsia="zh-CN"/>
              </w:rPr>
              <w:t>6</w:t>
            </w:r>
            <w:r>
              <w:rPr>
                <w:rFonts w:hint="eastAsia" w:ascii="宋体" w:hAnsi="宋体" w:eastAsia="宋体" w:cs="宋体"/>
                <w:b w:val="0"/>
                <w:color w:val="auto"/>
                <w:spacing w:val="-8"/>
                <w:kern w:val="2"/>
                <w:sz w:val="24"/>
                <w:szCs w:val="24"/>
                <w:highlight w:val="none"/>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pStyle w:val="42"/>
              <w:keepNext w:val="0"/>
              <w:keepLines w:val="0"/>
              <w:pageBreakBefore w:val="0"/>
              <w:kinsoku/>
              <w:wordWrap/>
              <w:overflowPunct/>
              <w:topLinePunct w:val="0"/>
              <w:bidi w:val="0"/>
              <w:spacing w:line="360" w:lineRule="auto"/>
              <w:ind w:left="0" w:leftChars="0" w:right="105" w:rightChars="50" w:firstLine="0" w:firstLineChars="0"/>
              <w:rPr>
                <w:rFonts w:hint="eastAsia" w:ascii="宋体" w:hAnsi="宋体" w:eastAsia="宋体" w:cs="宋体"/>
                <w:sz w:val="24"/>
                <w:szCs w:val="24"/>
              </w:rPr>
            </w:pPr>
            <w:r>
              <w:rPr>
                <w:rFonts w:hint="eastAsia" w:ascii="宋体" w:hAnsi="宋体" w:eastAsia="宋体" w:cs="宋体"/>
                <w:b w:val="0"/>
                <w:bCs/>
                <w:color w:val="auto"/>
                <w:spacing w:val="-8"/>
                <w:kern w:val="2"/>
                <w:sz w:val="24"/>
                <w:szCs w:val="24"/>
                <w:highlight w:val="none"/>
              </w:rPr>
              <w:t xml:space="preserve"> </w:t>
            </w:r>
            <w:r>
              <w:rPr>
                <w:rFonts w:hint="eastAsia" w:ascii="宋体" w:hAnsi="宋体" w:eastAsia="宋体" w:cs="宋体"/>
                <w:b w:val="0"/>
                <w:bCs/>
                <w:sz w:val="24"/>
                <w:szCs w:val="24"/>
              </w:rPr>
              <w:t>根据投标人提供的</w:t>
            </w:r>
            <w:r>
              <w:rPr>
                <w:rFonts w:hint="eastAsia" w:ascii="宋体" w:hAnsi="宋体" w:eastAsia="宋体" w:cs="宋体"/>
                <w:b w:val="0"/>
                <w:bCs/>
                <w:sz w:val="24"/>
                <w:szCs w:val="24"/>
                <w:lang w:eastAsia="zh-CN"/>
              </w:rPr>
              <w:t>原材料准备措施</w:t>
            </w:r>
            <w:r>
              <w:rPr>
                <w:rFonts w:hint="eastAsia" w:ascii="宋体" w:hAnsi="宋体" w:eastAsia="宋体" w:cs="宋体"/>
                <w:b w:val="0"/>
                <w:bCs/>
                <w:sz w:val="24"/>
                <w:szCs w:val="24"/>
              </w:rPr>
              <w:t>、质量保障措施、安全保障措施、应急处理措施（包括但不限于：①</w:t>
            </w:r>
            <w:r>
              <w:rPr>
                <w:rFonts w:hint="eastAsia" w:ascii="宋体" w:hAnsi="宋体" w:eastAsia="宋体" w:cs="宋体"/>
                <w:b w:val="0"/>
                <w:bCs/>
                <w:sz w:val="24"/>
                <w:szCs w:val="24"/>
                <w:lang w:eastAsia="zh-CN"/>
              </w:rPr>
              <w:t>原材料准备须明确采购计划、责任人、时间；</w:t>
            </w:r>
            <w:r>
              <w:rPr>
                <w:rFonts w:hint="eastAsia" w:ascii="宋体" w:hAnsi="宋体" w:eastAsia="宋体" w:cs="宋体"/>
                <w:b w:val="0"/>
                <w:bCs/>
                <w:sz w:val="24"/>
                <w:szCs w:val="24"/>
              </w:rPr>
              <w:t>②质量保障须明确</w:t>
            </w:r>
            <w:r>
              <w:rPr>
                <w:rFonts w:hint="eastAsia" w:ascii="宋体" w:hAnsi="宋体" w:eastAsia="宋体" w:cs="宋体"/>
                <w:b w:val="0"/>
                <w:bCs/>
                <w:sz w:val="24"/>
                <w:szCs w:val="24"/>
                <w:lang w:eastAsia="zh-CN"/>
              </w:rPr>
              <w:t>产品生产工艺</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产品执行</w:t>
            </w:r>
            <w:r>
              <w:rPr>
                <w:rFonts w:hint="eastAsia" w:ascii="宋体" w:hAnsi="宋体" w:eastAsia="宋体" w:cs="宋体"/>
                <w:b w:val="0"/>
                <w:bCs/>
                <w:sz w:val="24"/>
                <w:szCs w:val="24"/>
              </w:rPr>
              <w:t>的</w:t>
            </w:r>
            <w:r>
              <w:rPr>
                <w:rFonts w:hint="eastAsia" w:ascii="宋体" w:hAnsi="宋体" w:eastAsia="宋体" w:cs="宋体"/>
                <w:b w:val="0"/>
                <w:bCs/>
                <w:sz w:val="24"/>
                <w:szCs w:val="24"/>
                <w:lang w:eastAsia="zh-CN"/>
              </w:rPr>
              <w:t>标准</w:t>
            </w:r>
            <w:r>
              <w:rPr>
                <w:rFonts w:hint="eastAsia" w:ascii="宋体" w:hAnsi="宋体" w:eastAsia="宋体" w:cs="宋体"/>
                <w:b w:val="0"/>
                <w:bCs/>
                <w:sz w:val="24"/>
                <w:szCs w:val="24"/>
              </w:rPr>
              <w:t>；③安全保障需落实到人员安全、运输安全及</w:t>
            </w:r>
            <w:r>
              <w:rPr>
                <w:rFonts w:hint="eastAsia" w:ascii="宋体" w:hAnsi="宋体" w:eastAsia="宋体" w:cs="宋体"/>
                <w:b w:val="0"/>
                <w:bCs/>
                <w:sz w:val="24"/>
                <w:szCs w:val="24"/>
                <w:lang w:eastAsia="zh-CN"/>
              </w:rPr>
              <w:t>现场安装</w:t>
            </w:r>
            <w:r>
              <w:rPr>
                <w:rFonts w:hint="eastAsia" w:ascii="宋体" w:hAnsi="宋体" w:eastAsia="宋体" w:cs="宋体"/>
                <w:b w:val="0"/>
                <w:bCs/>
                <w:sz w:val="24"/>
                <w:szCs w:val="24"/>
              </w:rPr>
              <w:t>安全；④应急处理基于项目情况提出发生应急事件的可能性及</w:t>
            </w:r>
            <w:r>
              <w:rPr>
                <w:rFonts w:hint="eastAsia" w:ascii="宋体" w:hAnsi="宋体" w:eastAsia="宋体" w:cs="宋体"/>
                <w:b w:val="0"/>
                <w:bCs/>
                <w:sz w:val="24"/>
                <w:szCs w:val="24"/>
                <w:lang w:val="en-US" w:eastAsia="zh-CN"/>
              </w:rPr>
              <w:t>疫情的</w:t>
            </w:r>
            <w:r>
              <w:rPr>
                <w:rFonts w:hint="eastAsia" w:ascii="宋体" w:hAnsi="宋体" w:eastAsia="宋体" w:cs="宋体"/>
                <w:b w:val="0"/>
                <w:bCs/>
                <w:sz w:val="24"/>
                <w:szCs w:val="24"/>
              </w:rPr>
              <w:t>应对措施）进行综合评审：所有内容与本项目实际情况相符、无缺陷、阐述完整得</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分，</w:t>
            </w:r>
            <w:r>
              <w:rPr>
                <w:rFonts w:hint="eastAsia" w:ascii="宋体" w:hAnsi="宋体" w:eastAsia="宋体" w:cs="宋体"/>
                <w:b w:val="0"/>
                <w:bCs/>
                <w:kern w:val="2"/>
                <w:sz w:val="24"/>
                <w:szCs w:val="24"/>
                <w:highlight w:val="none"/>
                <w:lang w:val="en-US" w:eastAsia="zh-CN" w:bidi="ar-SA"/>
              </w:rPr>
              <w:t>每缺漏一项扣4分；</w:t>
            </w:r>
            <w:r>
              <w:rPr>
                <w:rFonts w:hint="eastAsia" w:ascii="宋体" w:hAnsi="宋体" w:eastAsia="宋体" w:cs="宋体"/>
                <w:b w:val="0"/>
                <w:bCs/>
                <w:sz w:val="24"/>
                <w:szCs w:val="24"/>
              </w:rPr>
              <w:t>以上内容与本项目实际情况不符或有缺陷或阐述不完整</w:t>
            </w:r>
            <w:r>
              <w:rPr>
                <w:rFonts w:hint="eastAsia" w:ascii="宋体" w:hAnsi="宋体" w:eastAsia="宋体" w:cs="宋体"/>
                <w:b w:val="0"/>
                <w:bCs/>
                <w:sz w:val="24"/>
                <w:szCs w:val="24"/>
                <w:lang w:val="en-US" w:eastAsia="zh-CN"/>
              </w:rPr>
              <w:t>或前后逻辑性错误</w:t>
            </w:r>
            <w:r>
              <w:rPr>
                <w:rFonts w:hint="eastAsia" w:ascii="宋体" w:hAnsi="宋体" w:eastAsia="宋体" w:cs="宋体"/>
                <w:b w:val="0"/>
                <w:bCs/>
                <w:sz w:val="24"/>
                <w:szCs w:val="24"/>
              </w:rPr>
              <w:t>，每有一项扣</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分，扣完为止。</w:t>
            </w:r>
            <w:r>
              <w:rPr>
                <w:rFonts w:hint="eastAsia" w:ascii="宋体" w:hAnsi="宋体" w:eastAsia="宋体" w:cs="宋体"/>
                <w:b w:val="0"/>
                <w:bCs/>
                <w:color w:val="auto"/>
                <w:spacing w:val="-8"/>
                <w:kern w:val="2"/>
                <w:sz w:val="24"/>
                <w:szCs w:val="24"/>
                <w:highlight w:val="none"/>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pStyle w:val="2"/>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line="360" w:lineRule="auto"/>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ind w:firstLine="28"/>
              <w:jc w:val="center"/>
              <w:textAlignment w:val="baseline"/>
              <w:rPr>
                <w:rFonts w:hint="eastAsia" w:ascii="宋体" w:hAnsi="宋体" w:eastAsia="宋体" w:cs="宋体"/>
                <w:sz w:val="24"/>
                <w:szCs w:val="24"/>
              </w:rPr>
            </w:pPr>
            <w:r>
              <w:rPr>
                <w:rFonts w:hint="eastAsia" w:ascii="宋体" w:hAnsi="宋体" w:eastAsia="宋体" w:cs="宋体"/>
                <w:sz w:val="24"/>
                <w:szCs w:val="24"/>
              </w:rPr>
              <w:t>售后服务方案</w:t>
            </w:r>
          </w:p>
          <w:p>
            <w:pPr>
              <w:keepNext w:val="0"/>
              <w:keepLines w:val="0"/>
              <w:pageBreakBefore w:val="0"/>
              <w:kinsoku/>
              <w:wordWrap/>
              <w:overflowPunct/>
              <w:topLinePunct w:val="0"/>
              <w:bidi w:val="0"/>
              <w:spacing w:line="360" w:lineRule="auto"/>
              <w:ind w:firstLine="28"/>
              <w:textAlignment w:val="baseline"/>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28"/>
              <w:textAlignment w:val="baseline"/>
              <w:rPr>
                <w:rFonts w:hint="eastAsia" w:ascii="宋体" w:hAnsi="宋体" w:eastAsia="宋体" w:cs="宋体"/>
                <w:kern w:val="0"/>
                <w:sz w:val="24"/>
                <w:szCs w:val="24"/>
              </w:rPr>
            </w:pP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ind w:firstLine="28"/>
              <w:jc w:val="center"/>
              <w:textAlignment w:val="baseline"/>
              <w:rPr>
                <w:rFonts w:hint="eastAsia" w:ascii="宋体" w:hAnsi="宋体" w:eastAsia="宋体" w:cs="宋体"/>
                <w:kern w:val="0"/>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t>对投标人的售后服务实施方案综合评定：</w:t>
            </w:r>
            <w:r>
              <w:rPr>
                <w:rFonts w:hint="eastAsia" w:ascii="宋体" w:hAnsi="宋体" w:eastAsia="宋体" w:cs="宋体"/>
                <w:b w:val="0"/>
                <w:bCs/>
                <w:sz w:val="24"/>
                <w:szCs w:val="24"/>
              </w:rPr>
              <w:t>①</w:t>
            </w:r>
            <w:r>
              <w:rPr>
                <w:rFonts w:hint="eastAsia" w:ascii="宋体" w:hAnsi="宋体" w:eastAsia="宋体" w:cs="宋体"/>
                <w:kern w:val="0"/>
                <w:sz w:val="24"/>
                <w:szCs w:val="24"/>
              </w:rPr>
              <w:t>服务方案与措施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②</w:t>
            </w:r>
            <w:r>
              <w:rPr>
                <w:rFonts w:hint="eastAsia" w:ascii="宋体" w:hAnsi="宋体" w:eastAsia="宋体" w:cs="宋体"/>
                <w:kern w:val="0"/>
                <w:sz w:val="24"/>
                <w:szCs w:val="24"/>
              </w:rPr>
              <w:t>服务保障措施</w:t>
            </w:r>
            <w:r>
              <w:rPr>
                <w:rFonts w:hint="eastAsia" w:ascii="宋体" w:hAnsi="宋体" w:eastAsia="宋体" w:cs="宋体"/>
                <w:b w:val="0"/>
                <w:bCs/>
                <w:sz w:val="24"/>
                <w:szCs w:val="24"/>
              </w:rPr>
              <w:t>；③</w:t>
            </w:r>
            <w:r>
              <w:rPr>
                <w:rFonts w:hint="eastAsia" w:ascii="宋体" w:hAnsi="宋体" w:eastAsia="宋体" w:cs="宋体"/>
                <w:kern w:val="0"/>
                <w:sz w:val="24"/>
                <w:szCs w:val="24"/>
              </w:rPr>
              <w:t>售后服务措施</w:t>
            </w:r>
            <w:r>
              <w:rPr>
                <w:rFonts w:hint="eastAsia" w:ascii="宋体" w:hAnsi="宋体" w:eastAsia="宋体" w:cs="宋体"/>
                <w:b w:val="0"/>
                <w:bCs/>
                <w:sz w:val="24"/>
                <w:szCs w:val="24"/>
              </w:rPr>
              <w:t>；④</w:t>
            </w:r>
            <w:r>
              <w:rPr>
                <w:rFonts w:hint="eastAsia" w:ascii="宋体" w:hAnsi="宋体" w:eastAsia="宋体" w:cs="宋体"/>
                <w:kern w:val="0"/>
                <w:sz w:val="24"/>
                <w:szCs w:val="24"/>
              </w:rPr>
              <w:t>应急管理措施进行描述</w:t>
            </w:r>
            <w:r>
              <w:rPr>
                <w:rFonts w:hint="eastAsia" w:ascii="宋体" w:hAnsi="宋体" w:eastAsia="宋体" w:cs="宋体"/>
                <w:kern w:val="0"/>
                <w:sz w:val="24"/>
                <w:szCs w:val="24"/>
                <w:lang w:eastAsia="zh-CN"/>
              </w:rPr>
              <w:t>。</w:t>
            </w:r>
            <w:r>
              <w:rPr>
                <w:rFonts w:hint="eastAsia" w:ascii="宋体" w:hAnsi="宋体" w:eastAsia="宋体" w:cs="宋体"/>
                <w:b w:val="0"/>
                <w:bCs/>
                <w:sz w:val="24"/>
                <w:szCs w:val="24"/>
              </w:rPr>
              <w:t>所有内容与本项目实际情况相符、无缺陷、阐述完整得</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分，</w:t>
            </w:r>
            <w:r>
              <w:rPr>
                <w:rFonts w:hint="eastAsia" w:ascii="宋体" w:hAnsi="宋体" w:eastAsia="宋体" w:cs="宋体"/>
                <w:kern w:val="2"/>
                <w:sz w:val="24"/>
                <w:szCs w:val="24"/>
                <w:highlight w:val="none"/>
                <w:lang w:val="en-US" w:eastAsia="zh-CN" w:bidi="ar-SA"/>
              </w:rPr>
              <w:t>每缺漏一项扣</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eastAsia="宋体" w:cs="宋体"/>
                <w:kern w:val="2"/>
                <w:sz w:val="24"/>
                <w:szCs w:val="24"/>
                <w:highlight w:val="none"/>
                <w:lang w:val="en-US" w:eastAsia="zh-CN" w:bidi="ar-SA"/>
              </w:rPr>
              <w:t>；</w:t>
            </w:r>
            <w:r>
              <w:rPr>
                <w:rFonts w:hint="eastAsia" w:ascii="宋体" w:hAnsi="宋体" w:eastAsia="宋体" w:cs="宋体"/>
                <w:b w:val="0"/>
                <w:bCs/>
                <w:sz w:val="24"/>
                <w:szCs w:val="24"/>
              </w:rPr>
              <w:t>以上内容与本项目实际情况不符或有缺陷或阐述不完整</w:t>
            </w:r>
            <w:r>
              <w:rPr>
                <w:rFonts w:hint="eastAsia" w:ascii="宋体" w:hAnsi="宋体" w:eastAsia="宋体" w:cs="宋体"/>
                <w:b w:val="0"/>
                <w:bCs/>
                <w:sz w:val="24"/>
                <w:szCs w:val="24"/>
                <w:lang w:val="en-US" w:eastAsia="zh-CN"/>
              </w:rPr>
              <w:t>或前后逻辑性错误</w:t>
            </w:r>
            <w:r>
              <w:rPr>
                <w:rFonts w:hint="eastAsia" w:ascii="宋体" w:hAnsi="宋体" w:eastAsia="宋体" w:cs="宋体"/>
                <w:b w:val="0"/>
                <w:bCs/>
                <w:sz w:val="24"/>
                <w:szCs w:val="24"/>
              </w:rPr>
              <w:t>，每有一项扣</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分，扣完为止。</w:t>
            </w:r>
            <w:r>
              <w:rPr>
                <w:rFonts w:hint="eastAsia" w:ascii="宋体" w:hAnsi="宋体" w:eastAsia="宋体" w:cs="宋体"/>
                <w:b w:val="0"/>
                <w:bCs/>
                <w:color w:val="auto"/>
                <w:spacing w:val="-8"/>
                <w:kern w:val="2"/>
                <w:sz w:val="24"/>
                <w:szCs w:val="24"/>
                <w:highlight w:val="none"/>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line="360" w:lineRule="auto"/>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sz w:val="24"/>
                <w:szCs w:val="24"/>
              </w:rPr>
              <w:t>节能、环保产品</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投标人所投产品属于节能产品、环境标志产品品目清单范围的（政府强制采购产品除外），有1个得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分，最多得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p>
            <w:pPr>
              <w:keepNext w:val="0"/>
              <w:keepLines w:val="0"/>
              <w:pageBreakBefore w:val="0"/>
              <w:kinsoku/>
              <w:wordWrap/>
              <w:overflowPunct/>
              <w:topLinePunct w:val="0"/>
              <w:bidi w:val="0"/>
              <w:spacing w:line="360"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(说明：1.品目清单中属于强制采购的，不再评分；2.提供国家认可的认证机构出具的、处于有效期之内的节能产品、环境标志产品认证证书复印件加盖投标人公章。）</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p>
        </w:tc>
      </w:tr>
    </w:tbl>
    <w:p>
      <w:pPr>
        <w:pStyle w:val="18"/>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上班时间为</w:t>
      </w:r>
      <w:r>
        <w:rPr>
          <w:rFonts w:hint="eastAsia" w:ascii="宋体" w:hAnsi="宋体" w:cs="宋体"/>
          <w:b w:val="0"/>
          <w:i w:val="0"/>
          <w:caps w:val="0"/>
          <w:spacing w:val="0"/>
          <w:w w:val="100"/>
          <w:sz w:val="24"/>
          <w:szCs w:val="24"/>
          <w:lang w:val="en-US" w:eastAsia="zh-CN"/>
        </w:rPr>
        <w:t>工作日</w:t>
      </w:r>
      <w:r>
        <w:rPr>
          <w:rFonts w:hint="eastAsia" w:ascii="宋体" w:hAnsi="宋体" w:eastAsia="宋体" w:cs="宋体"/>
          <w:b w:val="0"/>
          <w:i w:val="0"/>
          <w:caps w:val="0"/>
          <w:spacing w:val="0"/>
          <w:w w:val="100"/>
          <w:sz w:val="24"/>
          <w:szCs w:val="24"/>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en-US" w:eastAsia="zh-CN"/>
        </w:rPr>
        <w:t>028-</w:t>
      </w:r>
      <w:r>
        <w:rPr>
          <w:rFonts w:hint="eastAsia" w:ascii="宋体" w:hAnsi="宋体" w:eastAsia="宋体" w:cs="宋体"/>
          <w:b w:val="0"/>
          <w:i w:val="0"/>
          <w:caps w:val="0"/>
          <w:spacing w:val="0"/>
          <w:w w:val="100"/>
          <w:sz w:val="24"/>
          <w:szCs w:val="24"/>
        </w:rPr>
        <w:t>65978</w:t>
      </w:r>
      <w:r>
        <w:rPr>
          <w:rFonts w:hint="eastAsia" w:ascii="宋体" w:hAnsi="宋体" w:eastAsia="宋体" w:cs="宋体"/>
          <w:b w:val="0"/>
          <w:i w:val="0"/>
          <w:caps w:val="0"/>
          <w:spacing w:val="0"/>
          <w:w w:val="100"/>
          <w:sz w:val="24"/>
          <w:szCs w:val="24"/>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sz w:val="24"/>
          <w:szCs w:val="24"/>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附件2 主要表格</w:t>
      </w:r>
    </w:p>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u w:val="single"/>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数量</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单价（元）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1.报价应是最终用户验收合格后的总价，此报价含税，含运费，含安装费等各项费用</w:t>
      </w:r>
      <w:r>
        <w:rPr>
          <w:rFonts w:hint="eastAsia" w:ascii="宋体" w:hAnsi="宋体" w:eastAsia="宋体" w:cs="宋体"/>
          <w:color w:val="000000"/>
          <w:kern w:val="0"/>
          <w:sz w:val="24"/>
          <w:szCs w:val="24"/>
          <w:lang w:eastAsia="zh-CN"/>
        </w:rPr>
        <w:t>以及</w:t>
      </w:r>
      <w:r>
        <w:rPr>
          <w:rFonts w:hint="eastAsia" w:ascii="宋体" w:hAnsi="宋体" w:eastAsia="宋体" w:cs="宋体"/>
          <w:color w:val="000000"/>
          <w:kern w:val="0"/>
          <w:sz w:val="24"/>
          <w:szCs w:val="24"/>
        </w:rPr>
        <w:t>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pacing w:line="360" w:lineRule="auto"/>
        <w:jc w:val="left"/>
        <w:rPr>
          <w:rFonts w:hint="eastAsia" w:ascii="宋体" w:hAnsi="宋体" w:eastAsia="宋体" w:cs="宋体"/>
          <w:b/>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sz w:val="24"/>
          <w:szCs w:val="24"/>
          <w:lang w:val="zh-CN"/>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pStyle w:val="5"/>
        <w:keepNext w:val="0"/>
        <w:keepLines w:val="0"/>
        <w:pageBreakBefore w:val="0"/>
        <w:tabs>
          <w:tab w:val="left" w:pos="540"/>
        </w:tabs>
        <w:kinsoku/>
        <w:wordWrap/>
        <w:overflowPunct/>
        <w:topLinePunct w:val="0"/>
        <w:bidi w:val="0"/>
        <w:spacing w:beforeAutospacing="0" w:afterAutospacing="0" w:line="360" w:lineRule="auto"/>
        <w:ind w:left="720" w:hanging="720"/>
        <w:jc w:val="center"/>
        <w:rPr>
          <w:rFonts w:hint="eastAsia" w:ascii="宋体" w:hAnsi="宋体" w:eastAsia="宋体" w:cs="宋体"/>
          <w:bCs w:val="0"/>
          <w:color w:val="auto"/>
          <w:sz w:val="24"/>
          <w:szCs w:val="24"/>
          <w:lang w:val="zh-CN"/>
        </w:rPr>
      </w:pPr>
      <w:r>
        <w:rPr>
          <w:rFonts w:hint="eastAsia" w:ascii="宋体" w:hAnsi="宋体" w:eastAsia="宋体" w:cs="宋体"/>
          <w:bCs w:val="0"/>
          <w:color w:val="auto"/>
          <w:sz w:val="24"/>
          <w:szCs w:val="24"/>
          <w:lang w:val="zh-CN"/>
        </w:rPr>
        <w:t>法定代表人身份授权书</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keepNext w:val="0"/>
        <w:keepLines w:val="0"/>
        <w:pageBreakBefore w:val="0"/>
        <w:tabs>
          <w:tab w:val="left" w:pos="6300"/>
        </w:tabs>
        <w:kinsoku/>
        <w:wordWrap/>
        <w:overflowPunct/>
        <w:topLinePunct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（采购单位名称）：</w:t>
      </w:r>
    </w:p>
    <w:p>
      <w:pPr>
        <w:keepNext w:val="0"/>
        <w:keepLines w:val="0"/>
        <w:pageBreakBefore w:val="0"/>
        <w:tabs>
          <w:tab w:val="left" w:pos="720"/>
          <w:tab w:val="left" w:pos="6300"/>
        </w:tabs>
        <w:kinsoku/>
        <w:wordWrap/>
        <w:overflowPunct/>
        <w:topLinePunct w:val="0"/>
        <w:bidi w:val="0"/>
        <w:spacing w:line="360" w:lineRule="auto"/>
        <w:ind w:firstLine="573"/>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 xml:space="preserve">   本授权声明：</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（投标人名称）</w:t>
      </w:r>
      <w:r>
        <w:rPr>
          <w:rFonts w:hint="eastAsia" w:ascii="宋体" w:hAnsi="宋体" w:eastAsia="宋体" w:cs="宋体"/>
          <w:color w:val="auto"/>
          <w:sz w:val="24"/>
          <w:szCs w:val="24"/>
          <w:u w:val="single"/>
          <w:lang w:val="zh-CN"/>
        </w:rPr>
        <w:t xml:space="preserve">           </w:t>
      </w:r>
    </w:p>
    <w:p>
      <w:pPr>
        <w:keepNext w:val="0"/>
        <w:keepLines w:val="0"/>
        <w:pageBreakBefore w:val="0"/>
        <w:tabs>
          <w:tab w:val="left" w:pos="720"/>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（法定代表人姓名、职务）授权</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（被授权人姓名、职务）为我方</w:t>
      </w:r>
      <w:r>
        <w:rPr>
          <w:rFonts w:hint="eastAsia" w:ascii="宋体" w:hAnsi="宋体" w:eastAsia="宋体" w:cs="宋体"/>
          <w:color w:val="auto"/>
          <w:sz w:val="24"/>
          <w:szCs w:val="24"/>
          <w:u w:val="single"/>
          <w:lang w:val="zh-CN"/>
        </w:rPr>
        <w:t xml:space="preserve"> “                                          ”</w:t>
      </w:r>
      <w:r>
        <w:rPr>
          <w:rFonts w:hint="eastAsia" w:ascii="宋体" w:hAnsi="宋体" w:eastAsia="宋体" w:cs="宋体"/>
          <w:color w:val="auto"/>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授权代表人签字：</w:t>
      </w:r>
    </w:p>
    <w:p>
      <w:pPr>
        <w:keepNext w:val="0"/>
        <w:keepLines w:val="0"/>
        <w:pageBreakBefore w:val="0"/>
        <w:kinsoku/>
        <w:wordWrap/>
        <w:overflowPunct/>
        <w:topLinePunct w:val="0"/>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（加盖公章）</w:t>
      </w:r>
    </w:p>
    <w:p>
      <w:pPr>
        <w:keepNext w:val="0"/>
        <w:keepLines w:val="0"/>
        <w:pageBreakBefore w:val="0"/>
        <w:kinsoku/>
        <w:wordWrap/>
        <w:overflowPunct/>
        <w:topLinePunct w:val="0"/>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keepNext w:val="0"/>
        <w:keepLines w:val="0"/>
        <w:pageBreakBefore w:val="0"/>
        <w:numPr>
          <w:ilvl w:val="0"/>
          <w:numId w:val="2"/>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keepNext w:val="0"/>
        <w:keepLines w:val="0"/>
        <w:pageBreakBefore w:val="0"/>
        <w:widowControl/>
        <w:kinsoku/>
        <w:wordWrap/>
        <w:overflowPunct/>
        <w:topLinePunct w:val="0"/>
        <w:bidi w:val="0"/>
        <w:spacing w:line="360" w:lineRule="auto"/>
        <w:ind w:firstLine="640"/>
        <w:jc w:val="left"/>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pacing w:line="360" w:lineRule="auto"/>
        <w:ind w:firstLine="640"/>
        <w:jc w:val="left"/>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无围标、串标行为承诺书</w:t>
      </w:r>
    </w:p>
    <w:p>
      <w:pPr>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1.不同供应商的投标文件由同一单位或者个人编制；</w:t>
      </w:r>
    </w:p>
    <w:p>
      <w:pPr>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2.不同供应商委托同一单位或者个人办理投标事宜；</w:t>
      </w:r>
    </w:p>
    <w:p>
      <w:pPr>
        <w:pStyle w:val="2"/>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3.不同供应商的投标文件载明的项目管理成员或者联系人员为同一人；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4.不同供应商的投标文件异常一致或者投标报价呈规律性差异；</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5.不同供应商的投标文件相互混装；</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6.不同供应商的投标保证金从同一单位或者个人的账户转出；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8.供应商之间事先约定由某一特定供应商中标、成交；</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9.供应商之间商定部分供应商放弃参加采购活动或者放弃中标、成交；</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10.法律法规界定的其他围标串标行为。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投标人法人代表或委托代理人（承诺人） ：</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投标人：（公章）  </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附件3 采购投标文件装订顺序</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1.封面（公司、项目、联系人、联系方式）</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2.目录</w:t>
      </w:r>
    </w:p>
    <w:p>
      <w:pPr>
        <w:keepNext w:val="0"/>
        <w:keepLines w:val="0"/>
        <w:pageBreakBefore w:val="0"/>
        <w:numPr>
          <w:ilvl w:val="0"/>
          <w:numId w:val="3"/>
        </w:numPr>
        <w:kinsoku/>
        <w:wordWrap/>
        <w:overflowPunct/>
        <w:topLinePunct w:val="0"/>
        <w:bidi w:val="0"/>
        <w:adjustRightInd w:val="0"/>
        <w:spacing w:line="360" w:lineRule="auto"/>
        <w:rPr>
          <w:rFonts w:hint="eastAsia" w:ascii="宋体" w:hAnsi="宋体" w:eastAsia="宋体" w:cs="宋体"/>
          <w:b/>
          <w:color w:val="auto"/>
          <w:sz w:val="24"/>
          <w:szCs w:val="24"/>
        </w:rPr>
      </w:pPr>
      <w:r>
        <w:rPr>
          <w:rFonts w:hint="eastAsia" w:ascii="宋体" w:hAnsi="宋体" w:eastAsia="宋体" w:cs="宋体"/>
          <w:bCs/>
          <w:color w:val="auto"/>
          <w:spacing w:val="8"/>
          <w:sz w:val="24"/>
          <w:szCs w:val="24"/>
        </w:rPr>
        <w:t>3.</w:t>
      </w:r>
      <w:r>
        <w:rPr>
          <w:rFonts w:hint="eastAsia" w:ascii="宋体" w:hAnsi="宋体" w:eastAsia="宋体" w:cs="宋体"/>
          <w:color w:val="auto"/>
          <w:sz w:val="24"/>
          <w:szCs w:val="24"/>
        </w:rPr>
        <w:t>报价一览表</w:t>
      </w:r>
    </w:p>
    <w:p>
      <w:pPr>
        <w:keepNext w:val="0"/>
        <w:keepLines w:val="0"/>
        <w:pageBreakBefore w:val="0"/>
        <w:numPr>
          <w:ilvl w:val="0"/>
          <w:numId w:val="3"/>
        </w:numPr>
        <w:kinsoku/>
        <w:wordWrap/>
        <w:overflowPunct/>
        <w:topLinePunct w:val="0"/>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4.企业营业执照（复印件）</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5.供应商资质</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6.禁止围标、串标情况承诺函</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Cs/>
          <w:color w:val="auto"/>
          <w:sz w:val="24"/>
          <w:szCs w:val="24"/>
        </w:rPr>
        <w:t>如有</w:t>
      </w:r>
      <w:r>
        <w:rPr>
          <w:rFonts w:hint="eastAsia" w:ascii="宋体" w:hAnsi="宋体" w:eastAsia="宋体" w:cs="宋体"/>
          <w:color w:val="auto"/>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8.行业相关</w:t>
      </w:r>
      <w:r>
        <w:rPr>
          <w:rFonts w:hint="eastAsia" w:ascii="宋体" w:hAnsi="宋体" w:eastAsia="宋体" w:cs="宋体"/>
          <w:color w:val="auto"/>
          <w:sz w:val="24"/>
          <w:szCs w:val="24"/>
        </w:rPr>
        <w:t>规范或标准（如有）</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bCs/>
          <w:color w:val="auto"/>
          <w:spacing w:val="8"/>
          <w:sz w:val="24"/>
          <w:szCs w:val="24"/>
        </w:rPr>
        <w:t>售后</w:t>
      </w:r>
      <w:r>
        <w:rPr>
          <w:rFonts w:hint="eastAsia" w:ascii="宋体" w:hAnsi="宋体" w:eastAsia="宋体" w:cs="宋体"/>
          <w:bCs/>
          <w:color w:val="auto"/>
          <w:sz w:val="24"/>
          <w:szCs w:val="24"/>
        </w:rPr>
        <w:t>服务承诺及其它承诺</w:t>
      </w:r>
    </w:p>
    <w:p>
      <w:pPr>
        <w:keepNext w:val="0"/>
        <w:keepLines w:val="0"/>
        <w:pageBreakBefore w:val="0"/>
        <w:numPr>
          <w:ilvl w:val="0"/>
          <w:numId w:val="3"/>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10.投标人认为需要提供的其它文件</w:t>
      </w:r>
    </w:p>
    <w:p>
      <w:pPr>
        <w:keepNext w:val="0"/>
        <w:keepLines w:val="0"/>
        <w:pageBreakBefore w:val="0"/>
        <w:numPr>
          <w:ilvl w:val="0"/>
          <w:numId w:val="3"/>
        </w:numPr>
        <w:tabs>
          <w:tab w:val="left" w:pos="0"/>
        </w:tabs>
        <w:kinsoku/>
        <w:wordWrap/>
        <w:overflowPunct/>
        <w:topLinePunct w:val="0"/>
        <w:bidi w:val="0"/>
        <w:spacing w:line="360" w:lineRule="auto"/>
        <w:rPr>
          <w:rFonts w:hint="eastAsia" w:ascii="宋体" w:hAnsi="宋体" w:eastAsia="宋体" w:cs="宋体"/>
          <w:bCs/>
          <w:color w:val="auto"/>
          <w:sz w:val="24"/>
          <w:szCs w:val="24"/>
        </w:rPr>
      </w:pPr>
      <w:r>
        <w:rPr>
          <w:rFonts w:hint="eastAsia" w:ascii="宋体" w:hAnsi="宋体" w:eastAsia="宋体" w:cs="宋体"/>
          <w:bCs/>
          <w:color w:val="auto"/>
          <w:spacing w:val="8"/>
          <w:sz w:val="24"/>
          <w:szCs w:val="24"/>
        </w:rPr>
        <w:t>11.封底</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注：请务必按以上顺序装订资料，如有非中文资料，请同时提供中文翻译件。</w:t>
      </w:r>
    </w:p>
    <w:p>
      <w:pPr>
        <w:keepNext w:val="0"/>
        <w:keepLines w:val="0"/>
        <w:pageBreakBefore w:val="0"/>
        <w:kinsoku/>
        <w:wordWrap/>
        <w:overflowPunct/>
        <w:topLinePunct w:val="0"/>
        <w:bidi w:val="0"/>
        <w:snapToGrid w:val="0"/>
        <w:spacing w:line="360" w:lineRule="auto"/>
        <w:ind w:firstLine="487" w:firstLineChars="202"/>
        <w:textAlignment w:val="baseline"/>
        <w:rPr>
          <w:rFonts w:hint="eastAsia" w:ascii="宋体" w:hAnsi="宋体" w:eastAsia="宋体" w:cs="宋体"/>
          <w:b/>
          <w:bCs/>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附件4</w:t>
      </w:r>
    </w:p>
    <w:p>
      <w:pPr>
        <w:keepNext w:val="0"/>
        <w:keepLines w:val="0"/>
        <w:pageBreakBefore w:val="0"/>
        <w:tabs>
          <w:tab w:val="left" w:pos="6645"/>
        </w:tabs>
        <w:kinsoku/>
        <w:wordWrap/>
        <w:overflowPunct/>
        <w:topLinePunct w:val="0"/>
        <w:bidi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反商业贿赂承诺书</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1.不与其他投标人相互串通投标报价，损害贵院的合法权益；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2.不与招标人串通投标，损害国家利益、社会公共利益或他人的合法权益；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3.不以向招标人或者评标委员会成员行贿的手段谋取中标；</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4.竞标报价不违反相关法律的规定，也不以他人名义投标或者以其他方式弄虚作假，骗取中标；</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5.保证不以其他任何方式扰乱贵院的招标工作；</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6.保证不在药品销售、医疗器械、设备、物资、基建工程竞标中采取账外暗中给予回扣的手段腐蚀、贿赂医护、药剂人员、干部等其他相关人员；</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8.保证不让贵院临床科室、药剂部门以及有关人员登记、统计医生处方或为此提供方便，干扰贵院的正常工作秩序；</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9.保证不以其他任何不正当竞争手段推销药品、医疗器械、设备、物资。</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2.对本厂家、商家、公司相关工作人员作出严肃处理；</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六、 采购物资名称：                                   </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本《承诺书》一式二份（一份由承诺人自存；一份随竞价书传递）</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承诺企业名称（公章）                  </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法人代表或委托代理人（承诺人）</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bookmarkStart w:id="0" w:name="_GoBack"/>
      <w:bookmarkEnd w:id="0"/>
      <w:r>
        <w:rPr>
          <w:rFonts w:hint="eastAsia" w:ascii="宋体" w:hAnsi="宋体" w:eastAsia="宋体" w:cs="宋体"/>
          <w:b/>
          <w:bCs/>
          <w:color w:val="auto"/>
          <w:sz w:val="24"/>
          <w:szCs w:val="24"/>
        </w:rPr>
        <w:t xml:space="preserve">附件5 </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供应商遵守招标采购纪律承诺书</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致四川省妇幼保健院：</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我单位作为本次采购项目的供应商，根据响应文件要求，现郑重承诺如下：</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二、参加本次采购活动，不得直接或者间接从采购人或者采购代理机构处获得其他供应商的相关情况并修改其投标文件或者响应文件。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三、参加本次采购活动，不得按照采购人的授意撤换、修改投标文件或者响应文件。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四、参加本次采购活动，不得和本次采购供应商之间协商报价、技术方案等投标文件或者响应文件的实质性内容。</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五、本次采购活动中，不存在属于同一集团、协会、商会等组织成员的供应商按照该组织要求协同参加本次采购活动。</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六、参加本次采购活动，不存在与其他供应商之间事先约定由某一特定供应商中标、成交。</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七、参加本次采购活动，不存在与其他供应商商定部分供应商放弃参加采购活动或者放弃中标、成交。</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八、参加本次采购活动，不存在我单位的投标文件或者响应文件由其他参与本项目的单位或个人编制或委托办理投标事宜。</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九、参加本次采购活动，不存在我单位与采购人之间、供应商相互之间，为谋求特定供应商中标、成交或者排斥其他供应商的其他串通行为。</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十、与我方存在直接控股关系的单位为：XXX；存在管理关系单位为：XXX。</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供应商名称（单位公章）： 年 月 日</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（签字或加盖个人名章）：</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03779D67"/>
    <w:multiLevelType w:val="singleLevel"/>
    <w:tmpl w:val="03779D67"/>
    <w:lvl w:ilvl="0" w:tentative="0">
      <w:start w:val="1"/>
      <w:numFmt w:val="decimal"/>
      <w:lvlText w:val="%1."/>
      <w:lvlJc w:val="left"/>
      <w:pPr>
        <w:ind w:left="425" w:hanging="425"/>
      </w:pPr>
      <w:rPr>
        <w:rFonts w:hint="default"/>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0411DE"/>
    <w:rsid w:val="00297631"/>
    <w:rsid w:val="00323D01"/>
    <w:rsid w:val="00522399"/>
    <w:rsid w:val="00670D5E"/>
    <w:rsid w:val="00940752"/>
    <w:rsid w:val="009D6BC0"/>
    <w:rsid w:val="00E82CC5"/>
    <w:rsid w:val="00EE19A9"/>
    <w:rsid w:val="01F81447"/>
    <w:rsid w:val="02DB4B3A"/>
    <w:rsid w:val="03A23510"/>
    <w:rsid w:val="04B06B54"/>
    <w:rsid w:val="0A8157F2"/>
    <w:rsid w:val="0ABE63AC"/>
    <w:rsid w:val="0C331791"/>
    <w:rsid w:val="0C7A1F06"/>
    <w:rsid w:val="0D4B7EA8"/>
    <w:rsid w:val="10BB743B"/>
    <w:rsid w:val="11911798"/>
    <w:rsid w:val="12624579"/>
    <w:rsid w:val="12B14BBC"/>
    <w:rsid w:val="12B8653C"/>
    <w:rsid w:val="13BD568C"/>
    <w:rsid w:val="145271E3"/>
    <w:rsid w:val="153734AA"/>
    <w:rsid w:val="1A453F58"/>
    <w:rsid w:val="1CEB0181"/>
    <w:rsid w:val="1DB83FCC"/>
    <w:rsid w:val="1FA532EC"/>
    <w:rsid w:val="22BB3A5D"/>
    <w:rsid w:val="232B3403"/>
    <w:rsid w:val="23C17FE0"/>
    <w:rsid w:val="251D7B60"/>
    <w:rsid w:val="259E0A0B"/>
    <w:rsid w:val="281C3EDC"/>
    <w:rsid w:val="289060EA"/>
    <w:rsid w:val="28C86159"/>
    <w:rsid w:val="29413C0F"/>
    <w:rsid w:val="298608A4"/>
    <w:rsid w:val="2A982EBD"/>
    <w:rsid w:val="2B4567CD"/>
    <w:rsid w:val="2F332160"/>
    <w:rsid w:val="310A66F0"/>
    <w:rsid w:val="31C45485"/>
    <w:rsid w:val="367B781F"/>
    <w:rsid w:val="36E27470"/>
    <w:rsid w:val="374A7DA1"/>
    <w:rsid w:val="379C734C"/>
    <w:rsid w:val="38CE7769"/>
    <w:rsid w:val="39BD0181"/>
    <w:rsid w:val="39CB04C6"/>
    <w:rsid w:val="3AFA1300"/>
    <w:rsid w:val="3B471AA6"/>
    <w:rsid w:val="3B8A7ACE"/>
    <w:rsid w:val="3CA506FA"/>
    <w:rsid w:val="3E3671D1"/>
    <w:rsid w:val="3E8E5630"/>
    <w:rsid w:val="3F0B529D"/>
    <w:rsid w:val="3F9119DB"/>
    <w:rsid w:val="40752FAD"/>
    <w:rsid w:val="443129C6"/>
    <w:rsid w:val="45592A06"/>
    <w:rsid w:val="456953A7"/>
    <w:rsid w:val="48080BE7"/>
    <w:rsid w:val="48B956E0"/>
    <w:rsid w:val="49364CAA"/>
    <w:rsid w:val="4A8C77D9"/>
    <w:rsid w:val="4B020A9D"/>
    <w:rsid w:val="4C452C70"/>
    <w:rsid w:val="4D394294"/>
    <w:rsid w:val="4E715E64"/>
    <w:rsid w:val="4FC16D8F"/>
    <w:rsid w:val="509C4680"/>
    <w:rsid w:val="518B3759"/>
    <w:rsid w:val="518B70E4"/>
    <w:rsid w:val="53B33B6B"/>
    <w:rsid w:val="58A106A5"/>
    <w:rsid w:val="58A23677"/>
    <w:rsid w:val="594B0C5A"/>
    <w:rsid w:val="59C211D5"/>
    <w:rsid w:val="5B1A121D"/>
    <w:rsid w:val="602C7472"/>
    <w:rsid w:val="62245177"/>
    <w:rsid w:val="62524DA8"/>
    <w:rsid w:val="626F338E"/>
    <w:rsid w:val="62E010C3"/>
    <w:rsid w:val="64086243"/>
    <w:rsid w:val="65E54FB7"/>
    <w:rsid w:val="692B5D73"/>
    <w:rsid w:val="69A55680"/>
    <w:rsid w:val="6AF53F51"/>
    <w:rsid w:val="6B255705"/>
    <w:rsid w:val="6DBA51D0"/>
    <w:rsid w:val="6F0D61A8"/>
    <w:rsid w:val="768A3309"/>
    <w:rsid w:val="7BF91BD5"/>
    <w:rsid w:val="7C46062D"/>
    <w:rsid w:val="7F7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rPr>
  </w:style>
  <w:style w:type="paragraph" w:styleId="3">
    <w:name w:val="Body Text First Indent 2"/>
    <w:basedOn w:val="4"/>
    <w:qFormat/>
    <w:uiPriority w:val="0"/>
    <w:pPr>
      <w:ind w:firstLine="420"/>
    </w:pPr>
  </w:style>
  <w:style w:type="paragraph" w:styleId="4">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FangSong_GB2312"/>
      <w:sz w:val="28"/>
      <w:szCs w:val="20"/>
    </w:rPr>
  </w:style>
  <w:style w:type="paragraph" w:styleId="7">
    <w:name w:val="footer"/>
    <w:basedOn w:val="1"/>
    <w:link w:val="39"/>
    <w:uiPriority w:val="0"/>
    <w:pPr>
      <w:tabs>
        <w:tab w:val="center" w:pos="4513"/>
        <w:tab w:val="right" w:pos="9026"/>
      </w:tabs>
      <w:snapToGrid w:val="0"/>
      <w:jc w:val="left"/>
    </w:pPr>
    <w:rPr>
      <w:sz w:val="18"/>
      <w:szCs w:val="18"/>
    </w:rPr>
  </w:style>
  <w:style w:type="paragraph" w:styleId="8">
    <w:name w:val="header"/>
    <w:basedOn w:val="1"/>
    <w:link w:val="38"/>
    <w:uiPriority w:val="0"/>
    <w:pPr>
      <w:pBdr>
        <w:bottom w:val="single" w:color="auto" w:sz="6" w:space="1"/>
      </w:pBdr>
      <w:tabs>
        <w:tab w:val="center" w:pos="4513"/>
        <w:tab w:val="right" w:pos="902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2"/>
    <w:qFormat/>
    <w:uiPriority w:val="0"/>
    <w:pPr>
      <w:ind w:firstLine="420" w:firstLineChars="100"/>
    </w:pPr>
    <w:rPr>
      <w:rFonts w:ascii="Calibri" w:hAnsi="Calibri"/>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Other|1"/>
    <w:basedOn w:val="1"/>
    <w:qFormat/>
    <w:uiPriority w:val="0"/>
    <w:pPr>
      <w:jc w:val="left"/>
    </w:pPr>
    <w:rPr>
      <w:rFonts w:ascii="宋体" w:hAnsi="宋体" w:cs="宋体"/>
      <w:sz w:val="20"/>
      <w:szCs w:val="20"/>
      <w:lang w:val="zh-TW" w:eastAsia="zh-TW" w:bidi="zh-TW"/>
    </w:rPr>
  </w:style>
  <w:style w:type="character" w:customStyle="1" w:styleId="15">
    <w:name w:val="font21"/>
    <w:basedOn w:val="13"/>
    <w:qFormat/>
    <w:uiPriority w:val="0"/>
    <w:rPr>
      <w:rFonts w:hint="default" w:ascii="华文仿宋" w:hAnsi="华文仿宋" w:eastAsia="华文仿宋" w:cs="华文仿宋"/>
      <w:b/>
      <w:bCs/>
      <w:color w:val="000000"/>
      <w:sz w:val="18"/>
      <w:szCs w:val="18"/>
      <w:u w:val="none"/>
    </w:rPr>
  </w:style>
  <w:style w:type="character" w:customStyle="1" w:styleId="16">
    <w:name w:val="font31"/>
    <w:basedOn w:val="13"/>
    <w:qFormat/>
    <w:uiPriority w:val="0"/>
    <w:rPr>
      <w:rFonts w:hint="default" w:ascii="华文仿宋" w:hAnsi="华文仿宋" w:eastAsia="华文仿宋" w:cs="华文仿宋"/>
      <w:color w:val="000000"/>
      <w:sz w:val="18"/>
      <w:szCs w:val="18"/>
      <w:u w:val="none"/>
    </w:r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样式 47 10 磅"/>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页眉 字符"/>
    <w:basedOn w:val="13"/>
    <w:link w:val="8"/>
    <w:qFormat/>
    <w:uiPriority w:val="0"/>
    <w:rPr>
      <w:rFonts w:ascii="Times New Roman" w:hAnsi="Times New Roman" w:eastAsia="宋体" w:cs="Times New Roman"/>
      <w:kern w:val="2"/>
      <w:sz w:val="18"/>
      <w:szCs w:val="18"/>
    </w:rPr>
  </w:style>
  <w:style w:type="character" w:customStyle="1" w:styleId="39">
    <w:name w:val="页脚 字符"/>
    <w:basedOn w:val="13"/>
    <w:link w:val="7"/>
    <w:qFormat/>
    <w:uiPriority w:val="0"/>
    <w:rPr>
      <w:rFonts w:ascii="Times New Roman" w:hAnsi="Times New Roman" w:eastAsia="宋体" w:cs="Times New Roman"/>
      <w:kern w:val="2"/>
      <w:sz w:val="18"/>
      <w:szCs w:val="18"/>
    </w:rPr>
  </w:style>
  <w:style w:type="paragraph" w:customStyle="1" w:styleId="40">
    <w:name w:val="List Paragraph"/>
    <w:basedOn w:val="1"/>
    <w:qFormat/>
    <w:uiPriority w:val="0"/>
    <w:pPr>
      <w:ind w:firstLine="420" w:firstLineChars="200"/>
    </w:pPr>
    <w:rPr>
      <w:rFonts w:ascii="等线" w:hAnsi="等线" w:eastAsia="等线" w:cs="Times New Roman"/>
    </w:rPr>
  </w:style>
  <w:style w:type="paragraph" w:customStyle="1" w:styleId="41">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42">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UGG</Company>
  <Pages>22</Pages>
  <Words>12760</Words>
  <Characters>1579</Characters>
  <Lines>13</Lines>
  <Paragraphs>28</Paragraphs>
  <TotalTime>1</TotalTime>
  <ScaleCrop>false</ScaleCrop>
  <LinksUpToDate>false</LinksUpToDate>
  <CharactersWithSpaces>14311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2023-06-27T08:18:07Z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