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以本次有效的最低投标报价为基准价，其价格分为满分。其他投标人的价格分统一按照下列公式计算：投标报价得分=(评标基准价/投标报价）×100×10%。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根据2个项目4个报价分别进行评分，每个项目满分5分。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服务要求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响应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服务标准及要求完全满足招标文件要求得20分，每有一项“▲”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不满足或缺项的扣6分，每有一项非“▲”项不满足或缺项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的扣2分，扣完为止。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生动有趣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）进行评价，每具有一项前述细化指标内容得2分，最多得20分；每缺少一项内容扣2分，每有一处内容存在缺陷（缺陷是指：内容简略、内容与本项目实际需求不符、不符合相关规范及标准）扣1分，扣完为止。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结合本项目采购需求自行编制项目服务方案，根据投标人编制的服务方案进行评审，（包括设计思路、脚本创作、实地拍摄、影视特效包装、成片制作、技术团队、服务进度保证及措施、专业设备保障、应急预案、售后服务）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年1月1日至今类似案例证明材料进行综合评定。为复旦版综合排行榜前100名医院提供类似服务的，每1个得5分；其余三甲医疗机构每个得3分，其他二级及以上医疗机构每个得1分，最高10分。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2.投标人拟派本项目服务团队的人员中，具有新闻或影视相关专业的初级职称的得1分、中级职称的得3分、高级职称的得5分，最多得10分。提供证书复印件并加盖投标人公章。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00C72B61"/>
    <w:rsid w:val="009B31F9"/>
    <w:rsid w:val="00C72B61"/>
    <w:rsid w:val="04F3592C"/>
    <w:rsid w:val="05161115"/>
    <w:rsid w:val="0717174E"/>
    <w:rsid w:val="09260756"/>
    <w:rsid w:val="1B4969D6"/>
    <w:rsid w:val="33FD3971"/>
    <w:rsid w:val="4FAA2231"/>
    <w:rsid w:val="4FEB273A"/>
    <w:rsid w:val="560F5511"/>
    <w:rsid w:val="58337F1B"/>
    <w:rsid w:val="5C57185E"/>
    <w:rsid w:val="6B042541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926</Words>
  <Characters>948</Characters>
  <Lines>6</Lines>
  <Paragraphs>1</Paragraphs>
  <TotalTime>18</TotalTime>
  <ScaleCrop>false</ScaleCrop>
  <LinksUpToDate>false</LinksUpToDate>
  <CharactersWithSpaces>948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cp:lastPrinted>2023-07-14T00:40:51Z</cp:lastPrinted>
  <dcterms:modified xsi:type="dcterms:W3CDTF">2023-07-14T00:42:40Z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895CE5BD16114046871F38A8EEF6D7C4</vt:lpwstr>
  </property>
</Properties>
</file>