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防火防盗门、防火门项目采购要求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GoBack"/>
      <w:bookmarkEnd w:id="3"/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防火防盗门、防火门（第二次）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晋阳本部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（一）防火防盗门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1.防盗基本要求：带天地锁、带指纹及密码锁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2.防火防盗等级需求：甲级门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3.防盗门的洞口尺寸大概为：2119mm*1160mm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4.防火防盗门需双开外开，门框不用下门坎，边框材质厚度2.0毫米以上，门面板材质厚度需在1.5毫米以上；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5.需到现场实地复核尺寸，颜色为：银灰色；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6.需拆除原有的门及后期恢复、新门安装。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（二）PICU分区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防火门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1.防火门防火等级：甲级门；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2.防火门洞口尺寸大概为：2080mm*1470mm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3.防火门需双开外开，门框不用下门坎；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4.防火门需要加固，边框材质厚度2.0毫米以上，门面板材质厚度保够1.5毫米。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5.需到现场实地复核尺寸，颜色与住院门一致；6.需拆除原有的门及后期恢复，新门安装。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（三）预算控制价：防火防盗门8000元，防火门3000元。</w:t>
      </w:r>
    </w:p>
    <w:p>
      <w:pPr>
        <w:pStyle w:val="7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</w:t>
      </w:r>
      <w:r>
        <w:rPr>
          <w:rFonts w:hint="eastAsia" w:ascii="仿宋_GB2312" w:eastAsia="仿宋_GB2312"/>
          <w:sz w:val="28"/>
          <w:szCs w:val="28"/>
          <w:lang w:eastAsia="zh-CN"/>
        </w:rPr>
        <w:t>无围标、串标行为承诺书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4"/>
        <w:widowControl/>
        <w:spacing w:line="440" w:lineRule="atLeas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5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663" w:type="dxa"/>
            <w:gridSpan w:val="4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合计总价</w:t>
            </w: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3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3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3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3"/>
        <w:adjustRightInd w:val="0"/>
        <w:snapToGrid w:val="0"/>
        <w:spacing w:line="276" w:lineRule="auto"/>
        <w:ind w:firstLine="560" w:firstLineChars="200"/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1DF84C5D"/>
    <w:rsid w:val="239E2FCA"/>
    <w:rsid w:val="27C6322D"/>
    <w:rsid w:val="2D0446FC"/>
    <w:rsid w:val="4101403E"/>
    <w:rsid w:val="465D4985"/>
    <w:rsid w:val="46A24141"/>
    <w:rsid w:val="49DD4662"/>
    <w:rsid w:val="508F60FA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2023-07-19T09:33:32Z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