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w:t>
      </w:r>
      <w:r>
        <w:rPr>
          <w:rFonts w:hint="eastAsia" w:ascii="仿宋_GB2312" w:hAnsi="Segoe UI" w:eastAsia="仿宋_GB2312" w:cs="Segoe UI"/>
          <w:color w:val="333333"/>
          <w:spacing w:val="8"/>
          <w:kern w:val="0"/>
          <w:szCs w:val="21"/>
          <w:lang w:eastAsia="zh-CN"/>
        </w:rPr>
        <w:t>消化内镜用耗材；</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52000</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lang w:val="en-US" w:eastAsia="zh-CN"/>
        </w:rPr>
        <w:t>3.商务要求：供应商投标产品必须为四川省药械集中采购及医药价格监管平台挂网公示产品,并提供挂网商品代码；</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.技术参数要求：</w:t>
      </w:r>
    </w:p>
    <w:tbl>
      <w:tblPr>
        <w:tblStyle w:val="6"/>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1361"/>
        <w:gridCol w:w="2516"/>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序号</w:t>
            </w: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材料名称</w:t>
            </w:r>
          </w:p>
        </w:tc>
        <w:tc>
          <w:tcPr>
            <w:tcW w:w="2516"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hint="eastAsia" w:ascii="宋体" w:hAnsi="宋体"/>
                <w:b/>
                <w:sz w:val="18"/>
                <w:szCs w:val="18"/>
              </w:rPr>
              <w:t>预估年度</w:t>
            </w:r>
          </w:p>
          <w:p>
            <w:pPr>
              <w:jc w:val="center"/>
              <w:rPr>
                <w:rStyle w:val="12"/>
                <w:rFonts w:ascii="宋体" w:hAnsi="宋体"/>
                <w:b/>
                <w:sz w:val="18"/>
                <w:szCs w:val="18"/>
              </w:rPr>
            </w:pPr>
            <w:r>
              <w:rPr>
                <w:rStyle w:val="12"/>
                <w:rFonts w:hint="eastAsia" w:ascii="宋体" w:hAnsi="宋体"/>
                <w:b/>
                <w:sz w:val="18"/>
                <w:szCs w:val="18"/>
              </w:rPr>
              <w:t>使用量</w:t>
            </w:r>
          </w:p>
        </w:tc>
        <w:tc>
          <w:tcPr>
            <w:tcW w:w="611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一次性内镜用注射针</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50支</w:t>
            </w:r>
          </w:p>
        </w:tc>
        <w:tc>
          <w:tcPr>
            <w:tcW w:w="611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用途：与内窥镜配套使用，通过内窥镜钳道进入人体，用于消化道粘膜下层的注射；</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1.结构组成：至少包含针头、外管、内管、手柄；</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2.注射针针管直径可提供多种规格且至少包含19G、22G、25G；</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3.内镜用注射针长度可提供1200/1600/2000/2300mm长度规格，针头长度可提供4/6mm规格；</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4.针管应平直且清洁光滑无杂物，针管表面不得有毛刺、金属屑或其他杂志；</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5.针尖必须无毛边、毛刺或其他缺陷；</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6.包装要求：无菌独立包装；</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7.产品有效期≥24个月；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2</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eastAsia="zh-CN"/>
              </w:rPr>
              <w:t>异物网篮</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20把</w:t>
            </w:r>
          </w:p>
        </w:tc>
        <w:tc>
          <w:tcPr>
            <w:tcW w:w="611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用途：与内镜配合使用，用于取出消化道内的异物、结石或已切除组织样本；</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1.主要材质：医用不锈钢、ABS等；</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2.结构组成：至少包含外管、手柄、网圈、拉索组成；</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3.适用于通道直径≥φ2.8mm的内窥镜；</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4.外管长度可提供1200/1600/1800mm等多种规格；</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5.网圈直径可提供20/30mm等多种规格；</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6.包装要求：无菌独立包装；</w:t>
            </w:r>
          </w:p>
          <w:p>
            <w:pPr>
              <w:jc w:val="both"/>
              <w:rPr>
                <w:rFonts w:hint="eastAsia" w:ascii="宋体" w:hAnsi="宋体" w:cs="宋体" w:eastAsiaTheme="minorEastAsia"/>
                <w:kern w:val="2"/>
                <w:sz w:val="21"/>
                <w:szCs w:val="21"/>
                <w:lang w:val="en-US" w:eastAsia="zh-CN" w:bidi="ar-SA"/>
              </w:rPr>
            </w:pPr>
            <w:r>
              <w:rPr>
                <w:rFonts w:hint="eastAsia" w:ascii="宋体" w:hAnsi="宋体" w:eastAsia="宋体" w:cs="宋体"/>
                <w:sz w:val="21"/>
                <w:szCs w:val="21"/>
                <w:lang w:val="en-US" w:eastAsia="zh-CN"/>
              </w:rPr>
              <w:t>7.产品有效期≥24个月；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3</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一次性使用圈套器</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50把</w:t>
            </w:r>
          </w:p>
        </w:tc>
        <w:tc>
          <w:tcPr>
            <w:tcW w:w="611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用途：与内镜和高频电发生器配套使用，用于消化道息肉的切除；</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1.结构组成：至少包含手柄、鞘管、电极；</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2.套圈形状：可满足提供六边形、椭圆形、月牙形等；</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4.外管长度可提供1800/2300mm等多种规格；</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3.适用于通道直径≥φ2.8mm的内窥镜；</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5.包装要求：无菌独立包装；</w:t>
            </w:r>
          </w:p>
          <w:p>
            <w:pPr>
              <w:jc w:val="both"/>
              <w:rPr>
                <w:rFonts w:hint="eastAsia" w:ascii="宋体" w:hAnsi="宋体" w:cs="宋体" w:eastAsiaTheme="minorEastAsia"/>
                <w:kern w:val="2"/>
                <w:sz w:val="21"/>
                <w:szCs w:val="21"/>
                <w:lang w:val="en-US" w:eastAsia="zh-CN" w:bidi="ar-SA"/>
              </w:rPr>
            </w:pPr>
            <w:r>
              <w:rPr>
                <w:rFonts w:hint="eastAsia" w:ascii="宋体" w:hAnsi="宋体" w:eastAsia="宋体" w:cs="宋体"/>
                <w:sz w:val="21"/>
                <w:szCs w:val="21"/>
                <w:lang w:val="en-US" w:eastAsia="zh-CN"/>
              </w:rPr>
              <w:t>6.产品有效期≥24个月；</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jc w:val="left"/>
        <w:rPr>
          <w:rFonts w:ascii="仿宋_GB2312" w:hAnsi="Segoe UI" w:eastAsia="仿宋_GB2312" w:cs="Segoe UI"/>
          <w:color w:val="333333"/>
          <w:spacing w:val="8"/>
          <w:kern w:val="0"/>
          <w:sz w:val="24"/>
          <w:szCs w:val="24"/>
        </w:rPr>
      </w:pPr>
      <w:r>
        <w:rPr>
          <w:rFonts w:hint="eastAsia" w:ascii="仿宋_GB2312" w:hAnsi="Segoe UI" w:eastAsia="仿宋_GB2312" w:cs="Segoe UI"/>
          <w:b/>
          <w:bCs/>
          <w:color w:val="333333"/>
          <w:spacing w:val="8"/>
          <w:kern w:val="0"/>
          <w:sz w:val="24"/>
          <w:szCs w:val="24"/>
          <w:lang w:eastAsia="zh-CN"/>
        </w:rPr>
        <w:t>注：以上打▲号的条款为本次招标项目的实质性要求，不允许有负偏离</w:t>
      </w:r>
      <w:r>
        <w:rPr>
          <w:rFonts w:ascii="仿宋_GB2312" w:hAnsi="Segoe UI" w:eastAsia="仿宋_GB2312" w:cs="Segoe UI"/>
          <w:color w:val="333333"/>
          <w:spacing w:val="8"/>
          <w:kern w:val="0"/>
          <w:sz w:val="24"/>
          <w:szCs w:val="24"/>
        </w:rPr>
        <w:br w:type="page"/>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30%</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FF0000"/>
                <w:kern w:val="0"/>
                <w:sz w:val="18"/>
                <w:szCs w:val="18"/>
                <w:lang w:val="en-US" w:eastAsia="zh-CN"/>
              </w:rPr>
              <w:t>40</w:t>
            </w:r>
            <w:r>
              <w:rPr>
                <w:rFonts w:hint="eastAsia" w:ascii="宋体" w:hAnsi="宋体" w:cs="宋体"/>
                <w:kern w:val="0"/>
                <w:sz w:val="18"/>
                <w:szCs w:val="18"/>
              </w:rPr>
              <w:t>分；非“*”条款技术参数不满足招标文件要求（负偏离），一次扣</w:t>
            </w:r>
            <w:r>
              <w:rPr>
                <w:rFonts w:hint="eastAsia" w:ascii="宋体" w:hAnsi="宋体" w:cs="宋体"/>
                <w:color w:val="FF0000"/>
                <w:kern w:val="0"/>
                <w:sz w:val="18"/>
                <w:szCs w:val="18"/>
                <w:lang w:val="en-US" w:eastAsia="zh-CN"/>
              </w:rPr>
              <w:t>2</w:t>
            </w:r>
            <w:r>
              <w:rPr>
                <w:rFonts w:hint="eastAsia" w:ascii="宋体" w:hAnsi="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 </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根据响应产品样品及产品说明书，从样品的外观、材质、性能3个方面进行评价，每有1个方面不符合临床需求的扣4分，扣完为止。未提供样品的不得分。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4</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eastAsia="zh-CN"/>
              </w:rPr>
              <w:t>投标产品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bookmarkStart w:id="1" w:name="_GoBack"/>
            <w:bookmarkEnd w:id="1"/>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5</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宋体"/>
                <w:color w:val="000000"/>
                <w:kern w:val="0"/>
                <w:sz w:val="18"/>
                <w:szCs w:val="18"/>
              </w:rPr>
              <w:t>6%</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w:t>
            </w:r>
            <w:r>
              <w:rPr>
                <w:rFonts w:ascii="宋体" w:hAnsi="宋体" w:cs="Segoe UI"/>
                <w:color w:val="000000"/>
                <w:kern w:val="0"/>
                <w:sz w:val="18"/>
                <w:szCs w:val="18"/>
              </w:rPr>
              <w:t xml:space="preserve"> </w:t>
            </w:r>
          </w:p>
          <w:p>
            <w:pPr>
              <w:wordWrap w:val="0"/>
              <w:spacing w:line="270" w:lineRule="atLeast"/>
              <w:rPr>
                <w:rFonts w:ascii="宋体" w:hAnsi="宋体" w:cs="Segoe UI" w:eastAsiaTheme="minorEastAsia"/>
                <w:color w:val="000000"/>
                <w:kern w:val="0"/>
                <w:sz w:val="18"/>
                <w:szCs w:val="18"/>
                <w:lang w:val="en-US" w:eastAsia="zh-CN" w:bidi="ar-SA"/>
              </w:rPr>
            </w:pP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每缺少一项或提供的方案与本项目无关的扣2分；每有一项存在缺陷或漏洞的，且不利于项目实施的扣1分，分值扣完为止。</w:t>
            </w:r>
          </w:p>
          <w:p>
            <w:pPr>
              <w:wordWrap w:val="0"/>
              <w:jc w:val="left"/>
              <w:rPr>
                <w:rFonts w:ascii="宋体" w:hAnsi="宋体" w:cs="Segoe UI" w:eastAsiaTheme="minorEastAsia"/>
                <w:color w:val="000000"/>
                <w:kern w:val="0"/>
                <w:sz w:val="18"/>
                <w:szCs w:val="18"/>
                <w:lang w:val="en-US" w:eastAsia="zh-CN" w:bidi="ar-SA"/>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致四川省妇幼保健院：</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我单位作为本次采购项目的供应商，根据响应文件要求，现郑重承诺如下：</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一、参加本次采购活动，我单位不存在与单位负责人为同一人或者存在直接控股、管理关系的其他供应商参与同一合同项下的采购活动的行为。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二、参加本次采购活动，不得直接或者间接从采购人或者采购代理机构处获得其他供应商的相关情况并修改其投标文件或者响应文件。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三、参加本次采购活动，不得按照采购人的授意撤换、修改投标文件或者响应文件。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四、参加本次采购活动，不得和本次采购供应商之间协商报价、技术方案等投标文件或者响应文件的实质性内容。</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五、本次采购活动中，不存在属于同一集团、协会、商会等组织成员的供应商按照该组织要求协同参加本次采购活动。</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六、参加本次采购活动，不存在与其他供应商之间事先约定由某一特定供应商中标、成交。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七、参加本次采购活动，不存在与其他供应商商定部分供应商放弃参加采购活动或者放弃中标、成交。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八、参加本次采购活动，不存在我单位的投标文件或者响应文件由其他参与本项目的单位或个人编制或委托办理投标事宜。</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九、参加本次采购活动，不存在我单位与采购人之间、供应商相互之间，为谋求特定供应商中标、成交或者排斥其他供应商的其他串通行为。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十、与我方存在直接控股关系的单位为：XXX；存在管理关系单位为：XXX。</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adjustRightInd w:val="0"/>
        <w:spacing w:line="360" w:lineRule="auto"/>
        <w:jc w:val="left"/>
        <w:textAlignment w:val="baseline"/>
        <w:rPr>
          <w:rFonts w:hint="default" w:ascii="Times New Roman" w:hAnsi="Times New Roman" w:eastAsia="仿宋_GB2312" w:cs="Times New Roman"/>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供应商名称（单位公章）：                 年    月   日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法定代表人/单位负责人或授权代表</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（签字或加盖个人名章）：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注</w:t>
      </w:r>
      <w:r>
        <w:rPr>
          <w:rFonts w:hint="default" w:ascii="Times New Roman" w:hAnsi="Times New Roman" w:eastAsia="仿宋_GB2312" w:cs="Times New Roman"/>
          <w:kern w:val="0"/>
          <w:sz w:val="32"/>
          <w:szCs w:val="32"/>
        </w:rPr>
        <w:t>：</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1.“负责人”是指单位法定代表人或者法律、行政法规规定代表单位行使职权的主要负责人。</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rPr>
          <w:rFonts w:hint="default" w:ascii="Times New Roman" w:hAnsi="Times New Roman" w:cs="Times New Roman"/>
          <w:sz w:val="24"/>
          <w:szCs w:val="24"/>
        </w:rPr>
      </w:pPr>
      <w:r>
        <w:rPr>
          <w:rFonts w:hint="default" w:ascii="Times New Roman" w:hAnsi="Times New Roman" w:eastAsia="仿宋_GB2312" w:cs="Times New Roman"/>
          <w:kern w:val="0"/>
          <w:sz w:val="32"/>
          <w:szCs w:val="32"/>
        </w:rPr>
        <w:t>3.“管理关系”是指与不具有出资持股关系的单位之间存在的其他管理与被管理关系。</w:t>
      </w:r>
    </w:p>
    <w:p>
      <w:pPr>
        <w:rPr>
          <w:rFonts w:hint="default" w:ascii="Times New Roman" w:hAnsi="Times New Roman" w:cs="Times New Roman"/>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DCD224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76575"/>
    <w:rsid w:val="564D06AC"/>
    <w:rsid w:val="568B482E"/>
    <w:rsid w:val="569138FD"/>
    <w:rsid w:val="59106C36"/>
    <w:rsid w:val="5B761B58"/>
    <w:rsid w:val="5C2463A0"/>
    <w:rsid w:val="5EFA5D61"/>
    <w:rsid w:val="5F294D59"/>
    <w:rsid w:val="60716921"/>
    <w:rsid w:val="6145666E"/>
    <w:rsid w:val="628D0298"/>
    <w:rsid w:val="631C521C"/>
    <w:rsid w:val="632A0267"/>
    <w:rsid w:val="65F26020"/>
    <w:rsid w:val="66116446"/>
    <w:rsid w:val="6D9D573C"/>
    <w:rsid w:val="6E67486B"/>
    <w:rsid w:val="6EDC0811"/>
    <w:rsid w:val="6F6235EB"/>
    <w:rsid w:val="6FBA65AA"/>
    <w:rsid w:val="73275B38"/>
    <w:rsid w:val="732A038D"/>
    <w:rsid w:val="743E6E40"/>
    <w:rsid w:val="78D5269B"/>
    <w:rsid w:val="79885059"/>
    <w:rsid w:val="7A3D5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0</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2023-07-17T06:54:59Z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