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numPr>
          <w:ilvl w:val="0"/>
          <w:numId w:val="1"/>
        </w:numPr>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采购项目需求</w:t>
      </w:r>
    </w:p>
    <w:p>
      <w:pPr>
        <w:rPr>
          <w:rFonts w:hint="eastAsia"/>
        </w:rPr>
      </w:pPr>
    </w:p>
    <w:tbl>
      <w:tblPr>
        <w:tblStyle w:val="7"/>
        <w:tblpPr w:leftFromText="180" w:rightFromText="180" w:vertAnchor="text" w:horzAnchor="page" w:tblpX="1622" w:tblpY="31"/>
        <w:tblOverlap w:val="never"/>
        <w:tblW w:w="57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65"/>
        <w:gridCol w:w="1526"/>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序号</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产品名称</w:t>
            </w:r>
          </w:p>
        </w:tc>
        <w:tc>
          <w:tcPr>
            <w:tcW w:w="78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年度预估用量（个）</w:t>
            </w:r>
          </w:p>
        </w:tc>
        <w:tc>
          <w:tcPr>
            <w:tcW w:w="31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w:t>
            </w:r>
          </w:p>
        </w:tc>
        <w:tc>
          <w:tcPr>
            <w:tcW w:w="702"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子宫填塞球囊</w:t>
            </w:r>
          </w:p>
        </w:tc>
        <w:tc>
          <w:tcPr>
            <w:tcW w:w="78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50</w:t>
            </w:r>
          </w:p>
        </w:tc>
        <w:tc>
          <w:tcPr>
            <w:tcW w:w="31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1.产品用途：用于产后子宫出血的填塞止血性治疗。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2.产品结构：由球囊、球囊柄、导管、充盈接口和注射器组成；导管顶端有引流口。</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▲3.导管型号：24Fr。</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▲4.球囊注水容积：≥500ML。</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5.包装要求：无菌独立包装。</w:t>
            </w:r>
          </w:p>
        </w:tc>
      </w:tr>
    </w:tbl>
    <w:p>
      <w:pPr>
        <w:pStyle w:val="2"/>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1.年度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11.9万</w:t>
      </w:r>
      <w:r>
        <w:rPr>
          <w:rFonts w:hint="eastAsia" w:ascii="仿宋" w:hAnsi="仿宋" w:eastAsia="仿宋" w:cs="宋体"/>
          <w:color w:val="000000"/>
          <w:kern w:val="0"/>
          <w:sz w:val="28"/>
          <w:szCs w:val="28"/>
        </w:rPr>
        <w:t>元</w:t>
      </w:r>
      <w:r>
        <w:rPr>
          <w:rFonts w:hint="eastAsia" w:ascii="仿宋" w:hAnsi="仿宋" w:eastAsia="仿宋" w:cs="宋体"/>
          <w:color w:val="000000"/>
          <w:kern w:val="0"/>
          <w:sz w:val="28"/>
          <w:szCs w:val="28"/>
          <w:lang w:val="en-US" w:eastAsia="zh-CN"/>
        </w:rPr>
        <w:t>/年</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宋体"/>
          <w:color w:val="000000"/>
          <w:kern w:val="0"/>
          <w:sz w:val="28"/>
          <w:szCs w:val="28"/>
          <w:lang w:val="en-US" w:eastAsia="zh-CN"/>
        </w:rPr>
        <w:t>2.供货期限：3年，采购数量以实际使用量为准。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1.投标供应商应具备以上全部产品的供货资质，资质不全或缺少报价则视为不响应；</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投标产品属于国家医疗保障局发布的《医保医用耗材分类与代码》目录且具有医疗器械注册证的全部医用耗材（不含一类医疗器械）的，必须为四川省药械集中采购及医药价格监管平台挂网产品，需提供报价产品的挂网商品代码或产品ID,并提供挂网截图。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3.若产品有多种规格型号且价格不同，投标人应将所有型号分项报价。</w:t>
      </w:r>
    </w:p>
    <w:p>
      <w:pPr>
        <w:pStyle w:val="2"/>
        <w:rPr>
          <w:rFonts w:hint="eastAsia" w:eastAsia="仿宋"/>
          <w:lang w:val="en-US" w:eastAsia="zh-CN"/>
        </w:rPr>
      </w:pPr>
      <w:r>
        <w:rPr>
          <w:rFonts w:hint="eastAsia" w:ascii="仿宋" w:hAnsi="仿宋" w:eastAsia="仿宋" w:cs="宋体"/>
          <w:color w:val="000000"/>
          <w:kern w:val="0"/>
          <w:sz w:val="28"/>
          <w:szCs w:val="28"/>
          <w:lang w:val="en-US" w:eastAsia="zh-CN"/>
        </w:rPr>
        <w:t>4.投标报价不能超过年度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pStyle w:val="3"/>
        <w:numPr>
          <w:ilvl w:val="0"/>
          <w:numId w:val="0"/>
        </w:numPr>
        <w:spacing w:line="400" w:lineRule="exact"/>
        <w:ind w:leftChars="0"/>
        <w:jc w:val="both"/>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1.本项目的“年度预计用量” 、供应商的“响应总价”仅做为报价评审依据，结算以实际发生量乘以供应商响应单价结算。</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：评审办法（评分明细表</w:t>
      </w:r>
      <w:bookmarkStart w:id="1" w:name="_GoBack"/>
      <w:bookmarkEnd w:id="1"/>
      <w:r>
        <w:rPr>
          <w:rFonts w:hint="eastAsia" w:ascii="宋体" w:hAnsi="宋体" w:eastAsia="宋体" w:cs="Segoe UI"/>
          <w:b/>
          <w:bCs/>
          <w:color w:val="333333"/>
          <w:kern w:val="0"/>
          <w:sz w:val="28"/>
          <w:szCs w:val="28"/>
        </w:rPr>
        <w:t>）</w:t>
      </w:r>
    </w:p>
    <w:tbl>
      <w:tblPr>
        <w:tblStyle w:val="7"/>
        <w:tblpPr w:leftFromText="180" w:rightFromText="180" w:vertAnchor="text" w:horzAnchor="page" w:tblpX="731" w:tblpY="894"/>
        <w:tblOverlap w:val="never"/>
        <w:tblW w:w="6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58"/>
        <w:gridCol w:w="1055"/>
        <w:gridCol w:w="709"/>
        <w:gridCol w:w="4742"/>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90"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7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30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17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5"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b/>
                <w:bCs/>
                <w:color w:val="000000"/>
                <w:kern w:val="0"/>
                <w:sz w:val="18"/>
                <w:szCs w:val="18"/>
                <w:highlight w:val="none"/>
                <w:lang w:val="en-US" w:eastAsia="zh-CN"/>
              </w:rPr>
              <w:t>1.输液港</w:t>
            </w:r>
            <w:r>
              <w:rPr>
                <w:rFonts w:hint="eastAsia" w:ascii="宋体" w:hAnsi="宋体" w:eastAsia="宋体" w:cs="宋体"/>
                <w:b/>
                <w:bCs/>
                <w:color w:val="000000"/>
                <w:kern w:val="0"/>
                <w:sz w:val="18"/>
                <w:szCs w:val="18"/>
                <w:highlight w:val="none"/>
              </w:rPr>
              <w:t>价格分</w:t>
            </w:r>
            <w:r>
              <w:rPr>
                <w:rFonts w:hint="eastAsia" w:ascii="宋体" w:hAnsi="宋体" w:eastAsia="宋体" w:cs="宋体"/>
                <w:color w:val="000000"/>
                <w:kern w:val="0"/>
                <w:sz w:val="18"/>
                <w:szCs w:val="18"/>
                <w:highlight w:val="none"/>
              </w:rPr>
              <w:t>：</w:t>
            </w:r>
          </w:p>
          <w:p>
            <w:pPr>
              <w:widowControl/>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响应材料满足磋商文件要求且以响应总价最低的为评审基准价，其价格分为</w:t>
            </w:r>
            <w:r>
              <w:rPr>
                <w:rFonts w:hint="eastAsia" w:ascii="宋体" w:hAnsi="宋体" w:eastAsia="宋体" w:cs="宋体"/>
                <w:color w:val="000000"/>
                <w:kern w:val="0"/>
                <w:sz w:val="18"/>
                <w:szCs w:val="18"/>
                <w:highlight w:val="none"/>
                <w:lang w:val="en-US" w:eastAsia="zh-CN"/>
              </w:rPr>
              <w:t>30</w:t>
            </w:r>
            <w:r>
              <w:rPr>
                <w:rFonts w:hint="eastAsia" w:ascii="宋体" w:hAnsi="宋体" w:eastAsia="宋体" w:cs="宋体"/>
                <w:color w:val="000000"/>
                <w:kern w:val="0"/>
                <w:sz w:val="18"/>
                <w:szCs w:val="18"/>
                <w:highlight w:val="none"/>
              </w:rPr>
              <w:t>分。其他供应商的价格分统一按照以下公式计算：价格分=(评审基准价／响应总价)×</w:t>
            </w:r>
            <w:r>
              <w:rPr>
                <w:rFonts w:hint="eastAsia" w:ascii="宋体" w:hAnsi="宋体" w:eastAsia="宋体" w:cs="宋体"/>
                <w:color w:val="000000"/>
                <w:kern w:val="0"/>
                <w:sz w:val="18"/>
                <w:szCs w:val="18"/>
                <w:highlight w:val="none"/>
                <w:lang w:val="en-US" w:eastAsia="zh-CN"/>
              </w:rPr>
              <w:t>30。</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2.响应总价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响应总价</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color w:val="000000"/>
                <w:kern w:val="0"/>
                <w:sz w:val="18"/>
                <w:szCs w:val="18"/>
                <w:highlight w:val="none"/>
              </w:rPr>
              <w:t>各项材料响应单价*预估年度用量之和</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1.若同种产品有多种规格型号且涉及不同报价，供应商应全部报价；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lang w:val="en-US" w:eastAsia="zh-CN"/>
              </w:rPr>
              <w:t>如同种产品有</w:t>
            </w:r>
            <w:r>
              <w:rPr>
                <w:rFonts w:hint="eastAsia" w:ascii="宋体" w:hAnsi="宋体" w:eastAsia="宋体" w:cs="宋体"/>
                <w:color w:val="000000"/>
                <w:kern w:val="0"/>
                <w:sz w:val="18"/>
                <w:szCs w:val="18"/>
                <w:highlight w:val="none"/>
              </w:rPr>
              <w:t>多种规格型号</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lang w:val="en-US" w:eastAsia="zh-CN"/>
              </w:rPr>
              <w:t>侧</w:t>
            </w:r>
            <w:r>
              <w:rPr>
                <w:rFonts w:hint="eastAsia" w:ascii="宋体" w:hAnsi="宋体" w:eastAsia="宋体" w:cs="宋体"/>
                <w:color w:val="000000"/>
                <w:kern w:val="0"/>
                <w:sz w:val="18"/>
                <w:szCs w:val="18"/>
                <w:highlight w:val="none"/>
              </w:rPr>
              <w:t>响应单价为报价的平均价。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32</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完全符合磋商文件技术参数要求得</w:t>
            </w:r>
            <w:r>
              <w:rPr>
                <w:rFonts w:hint="eastAsia" w:ascii="宋体" w:hAnsi="宋体" w:eastAsia="宋体" w:cs="宋体"/>
                <w:color w:val="000000"/>
                <w:kern w:val="0"/>
                <w:sz w:val="18"/>
                <w:szCs w:val="18"/>
                <w:highlight w:val="none"/>
                <w:lang w:val="en-US" w:eastAsia="zh-CN"/>
              </w:rPr>
              <w:t>32</w:t>
            </w:r>
            <w:r>
              <w:rPr>
                <w:rFonts w:hint="eastAsia" w:ascii="宋体" w:hAnsi="宋体" w:eastAsia="宋体" w:cs="宋体"/>
                <w:color w:val="000000"/>
                <w:kern w:val="0"/>
                <w:sz w:val="18"/>
                <w:szCs w:val="18"/>
                <w:highlight w:val="none"/>
              </w:rPr>
              <w:t>分。▲号条款负偏离一项扣</w:t>
            </w:r>
            <w:r>
              <w:rPr>
                <w:rFonts w:hint="eastAsia" w:ascii="宋体" w:hAnsi="宋体" w:eastAsia="宋体" w:cs="宋体"/>
                <w:color w:val="000000"/>
                <w:kern w:val="0"/>
                <w:sz w:val="18"/>
                <w:szCs w:val="18"/>
                <w:highlight w:val="none"/>
                <w:lang w:val="en-US" w:eastAsia="zh-CN"/>
              </w:rPr>
              <w:t>10</w:t>
            </w:r>
            <w:r>
              <w:rPr>
                <w:rFonts w:hint="eastAsia" w:ascii="宋体" w:hAnsi="宋体" w:eastAsia="宋体" w:cs="宋体"/>
                <w:color w:val="000000"/>
                <w:kern w:val="0"/>
                <w:sz w:val="18"/>
                <w:szCs w:val="18"/>
                <w:highlight w:val="none"/>
              </w:rPr>
              <w:t>分，非▲号条款负偏离一项扣</w:t>
            </w:r>
            <w:r>
              <w:rPr>
                <w:rFonts w:hint="eastAsia" w:ascii="宋体" w:hAnsi="宋体" w:eastAsia="宋体" w:cs="宋体"/>
                <w:color w:val="000000"/>
                <w:kern w:val="0"/>
                <w:sz w:val="18"/>
                <w:szCs w:val="18"/>
                <w:highlight w:val="none"/>
                <w:lang w:val="en-US" w:eastAsia="zh-CN"/>
              </w:rPr>
              <w:t>4</w:t>
            </w:r>
            <w:r>
              <w:rPr>
                <w:rFonts w:hint="eastAsia" w:ascii="宋体" w:hAnsi="宋体" w:eastAsia="宋体" w:cs="宋体"/>
                <w:color w:val="000000"/>
                <w:kern w:val="0"/>
                <w:sz w:val="18"/>
                <w:szCs w:val="18"/>
                <w:highlight w:val="none"/>
              </w:rPr>
              <w:t>分，扣完为止。（▲号条款共</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项，非▲号条款共</w:t>
            </w:r>
            <w:r>
              <w:rPr>
                <w:rFonts w:hint="eastAsia" w:ascii="宋体" w:hAnsi="宋体" w:eastAsia="宋体" w:cs="宋体"/>
                <w:color w:val="000000"/>
                <w:kern w:val="0"/>
                <w:sz w:val="18"/>
                <w:szCs w:val="18"/>
                <w:highlight w:val="none"/>
                <w:lang w:val="en-US" w:eastAsia="zh-CN"/>
              </w:rPr>
              <w:t>3</w:t>
            </w:r>
            <w:r>
              <w:rPr>
                <w:rFonts w:hint="eastAsia" w:ascii="宋体" w:hAnsi="宋体" w:eastAsia="宋体" w:cs="宋体"/>
                <w:color w:val="000000"/>
                <w:kern w:val="0"/>
                <w:sz w:val="18"/>
                <w:szCs w:val="18"/>
                <w:highlight w:val="none"/>
              </w:rPr>
              <w:t>项）。</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（1）技术条款需提供所响应产品说明书作为证明文件。</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（2）如技术指标在响应文件中未对应出现或在响应文件中存在自相矛盾之处或未提供的不得分。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提供响应产品2020年1月1日以来国内三甲医疗机构业绩证明，每提供1个业绩得</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分，最多得</w:t>
            </w:r>
            <w:r>
              <w:rPr>
                <w:rFonts w:hint="eastAsia" w:ascii="宋体" w:hAnsi="宋体" w:eastAsia="宋体" w:cs="宋体"/>
                <w:color w:val="000000"/>
                <w:kern w:val="0"/>
                <w:sz w:val="18"/>
                <w:szCs w:val="18"/>
                <w:highlight w:val="none"/>
                <w:lang w:val="en-US" w:eastAsia="zh-CN"/>
              </w:rPr>
              <w:t>14</w:t>
            </w:r>
            <w:r>
              <w:rPr>
                <w:rFonts w:hint="eastAsia" w:ascii="宋体" w:hAnsi="宋体" w:eastAsia="宋体" w:cs="宋体"/>
                <w:color w:val="000000"/>
                <w:kern w:val="0"/>
                <w:sz w:val="18"/>
                <w:szCs w:val="18"/>
                <w:highlight w:val="none"/>
              </w:rPr>
              <w:t>分。</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注：提供销售采购合同</w:t>
            </w:r>
            <w:r>
              <w:rPr>
                <w:rFonts w:hint="eastAsia" w:ascii="宋体" w:hAnsi="宋体" w:eastAsia="宋体" w:cs="宋体"/>
                <w:color w:val="000000"/>
                <w:kern w:val="0"/>
                <w:sz w:val="18"/>
                <w:szCs w:val="18"/>
                <w:highlight w:val="none"/>
                <w:lang w:val="en-US" w:eastAsia="zh-CN"/>
              </w:rPr>
              <w:t>和</w:t>
            </w:r>
            <w:r>
              <w:rPr>
                <w:rFonts w:hint="eastAsia" w:ascii="宋体" w:hAnsi="宋体" w:eastAsia="宋体" w:cs="宋体"/>
                <w:color w:val="000000"/>
                <w:kern w:val="0"/>
                <w:sz w:val="18"/>
                <w:szCs w:val="18"/>
                <w:highlight w:val="none"/>
              </w:rPr>
              <w:t>发票复印件加盖投标人公章。</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注：</w:t>
            </w:r>
            <w:r>
              <w:rPr>
                <w:rFonts w:hint="eastAsia" w:ascii="宋体" w:hAnsi="宋体" w:eastAsia="宋体" w:cs="宋体"/>
                <w:color w:val="000000"/>
                <w:kern w:val="0"/>
                <w:sz w:val="18"/>
                <w:szCs w:val="18"/>
                <w:highlight w:val="none"/>
              </w:rPr>
              <w:t>若发票复印件上无产品明细则需附销货清单</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非三甲医疗机构业绩证明请勿提供。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512"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样品评分</w:t>
            </w:r>
          </w:p>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44"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12</w:t>
            </w:r>
            <w:r>
              <w:rPr>
                <w:rFonts w:hint="eastAsia" w:ascii="宋体" w:hAnsi="宋体" w:eastAsia="宋体" w:cs="宋体"/>
                <w:color w:val="000000"/>
                <w:kern w:val="0"/>
                <w:sz w:val="18"/>
                <w:szCs w:val="18"/>
                <w:highlight w:val="none"/>
                <w:lang w:val="en-US" w:eastAsia="zh-CN"/>
              </w:rPr>
              <w:t>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根据响应产品样品，从样品的外观、材质、性能3个方面进行评价，每有1个方面不符合临床需求的扣4分，扣完为止。未提供样品的不得分。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样品的供应商名称或生产厂家名称或品牌等字样及图案遮挡不全不得分。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51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w:t>
            </w: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w:t>
            </w: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w:t>
            </w:r>
            <w:r>
              <w:rPr>
                <w:rFonts w:hint="eastAsia" w:ascii="宋体" w:hAnsi="宋体" w:cs="宋体"/>
                <w:color w:val="000000"/>
                <w:kern w:val="0"/>
                <w:sz w:val="18"/>
                <w:szCs w:val="18"/>
              </w:rPr>
              <w:t>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根据供应商提供的售后服务方案，包含：</w:t>
            </w:r>
            <w:r>
              <w:rPr>
                <w:rFonts w:hint="eastAsia" w:ascii="宋体" w:hAnsi="宋体" w:eastAsia="宋体" w:cs="宋体"/>
                <w:color w:val="000000"/>
                <w:kern w:val="0"/>
                <w:sz w:val="18"/>
                <w:szCs w:val="18"/>
              </w:rPr>
              <w:t>【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highlight w:val="none"/>
              </w:rPr>
              <w:t>符合本项目实际情况、有利于项目实施的得</w:t>
            </w:r>
            <w:r>
              <w:rPr>
                <w:rFonts w:hint="eastAsia" w:ascii="宋体" w:hAnsi="宋体" w:eastAsia="宋体" w:cs="宋体"/>
                <w:color w:val="000000"/>
                <w:kern w:val="0"/>
                <w:sz w:val="18"/>
                <w:szCs w:val="18"/>
                <w:highlight w:val="none"/>
                <w:lang w:val="en-US" w:eastAsia="zh-CN"/>
              </w:rPr>
              <w:t>12</w:t>
            </w:r>
            <w:r>
              <w:rPr>
                <w:rFonts w:hint="eastAsia" w:ascii="宋体" w:hAnsi="宋体" w:eastAsia="宋体" w:cs="宋体"/>
                <w:color w:val="000000"/>
                <w:kern w:val="0"/>
                <w:sz w:val="18"/>
                <w:szCs w:val="18"/>
                <w:highlight w:val="none"/>
              </w:rPr>
              <w:t>分；每缺少一项或提供的方案与本项目无关的扣</w:t>
            </w:r>
            <w:r>
              <w:rPr>
                <w:rFonts w:hint="eastAsia" w:ascii="宋体" w:hAnsi="宋体" w:eastAsia="宋体" w:cs="宋体"/>
                <w:color w:val="000000"/>
                <w:kern w:val="0"/>
                <w:sz w:val="18"/>
                <w:szCs w:val="18"/>
                <w:highlight w:val="none"/>
                <w:lang w:val="en-US" w:eastAsia="zh-CN"/>
              </w:rPr>
              <w:t>3</w:t>
            </w:r>
            <w:r>
              <w:rPr>
                <w:rFonts w:hint="eastAsia" w:ascii="宋体" w:hAnsi="宋体" w:eastAsia="宋体" w:cs="宋体"/>
                <w:color w:val="000000"/>
                <w:kern w:val="0"/>
                <w:sz w:val="18"/>
                <w:szCs w:val="18"/>
                <w:highlight w:val="none"/>
              </w:rPr>
              <w:t>分；每有一项存在缺陷或漏洞的，且不利于项目实施的扣</w:t>
            </w:r>
            <w:r>
              <w:rPr>
                <w:rFonts w:hint="eastAsia" w:ascii="宋体" w:hAnsi="宋体" w:eastAsia="宋体" w:cs="宋体"/>
                <w:color w:val="000000"/>
                <w:kern w:val="0"/>
                <w:sz w:val="18"/>
                <w:szCs w:val="18"/>
                <w:highlight w:val="none"/>
                <w:lang w:val="en-US" w:eastAsia="zh-CN"/>
              </w:rPr>
              <w:t>1.5</w:t>
            </w:r>
            <w:r>
              <w:rPr>
                <w:rFonts w:hint="eastAsia" w:ascii="宋体" w:hAnsi="宋体" w:eastAsia="宋体" w:cs="宋体"/>
                <w:color w:val="000000"/>
                <w:kern w:val="0"/>
                <w:sz w:val="18"/>
                <w:szCs w:val="18"/>
                <w:highlight w:val="none"/>
              </w:rPr>
              <w:t xml:space="preserve">分，分值扣完为止。 </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pPr>
        <w:widowControl/>
        <w:jc w:val="left"/>
        <w:rPr>
          <w:rFonts w:hint="eastAsia"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8478" w:type="dxa"/>
        <w:jc w:val="center"/>
        <w:tblLayout w:type="autofit"/>
        <w:tblCellMar>
          <w:top w:w="0" w:type="dxa"/>
          <w:left w:w="0" w:type="dxa"/>
          <w:bottom w:w="0" w:type="dxa"/>
          <w:right w:w="0" w:type="dxa"/>
        </w:tblCellMar>
      </w:tblPr>
      <w:tblGrid>
        <w:gridCol w:w="1056"/>
        <w:gridCol w:w="2448"/>
        <w:gridCol w:w="1752"/>
        <w:gridCol w:w="1624"/>
        <w:gridCol w:w="1598"/>
      </w:tblGrid>
      <w:tr>
        <w:tblPrEx>
          <w:tblCellMar>
            <w:top w:w="0" w:type="dxa"/>
            <w:left w:w="0" w:type="dxa"/>
            <w:bottom w:w="0" w:type="dxa"/>
            <w:right w:w="0" w:type="dxa"/>
          </w:tblCellMar>
        </w:tblPrEx>
        <w:trPr>
          <w:trHeight w:val="687" w:hRule="atLeast"/>
          <w:jc w:val="center"/>
        </w:trPr>
        <w:tc>
          <w:tcPr>
            <w:tcW w:w="105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序号</w:t>
            </w:r>
          </w:p>
        </w:tc>
        <w:tc>
          <w:tcPr>
            <w:tcW w:w="24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单位用户名称</w:t>
            </w:r>
          </w:p>
        </w:tc>
        <w:tc>
          <w:tcPr>
            <w:tcW w:w="17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合同时间</w:t>
            </w:r>
          </w:p>
        </w:tc>
        <w:tc>
          <w:tcPr>
            <w:tcW w:w="1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联系人及联系方式</w:t>
            </w:r>
          </w:p>
        </w:tc>
        <w:tc>
          <w:tcPr>
            <w:tcW w:w="1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98"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tbl>
      <w:tblPr>
        <w:tblStyle w:val="7"/>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1121"/>
        <w:gridCol w:w="750"/>
        <w:gridCol w:w="94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1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根</w:t>
            </w:r>
            <w:r>
              <w:rPr>
                <w:rFonts w:hint="eastAsia" w:ascii="仿宋_GB2312" w:hAnsi="Segoe UI" w:eastAsia="仿宋_GB2312" w:cs="Segoe UI"/>
                <w:color w:val="333333"/>
                <w:kern w:val="0"/>
                <w:sz w:val="24"/>
                <w:szCs w:val="24"/>
              </w:rPr>
              <w:t>)</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产品挂网代码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eastAsia"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2"/>
        <w:rPr>
          <w:rFonts w:hint="eastAsia"/>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numPr>
          <w:ilvl w:val="0"/>
          <w:numId w:val="2"/>
        </w:numPr>
        <w:shd w:val="clear" w:color="auto" w:fill="FFFFFF"/>
        <w:wordWrap w:val="0"/>
        <w:jc w:val="left"/>
        <w:rPr>
          <w:rFonts w:hint="eastAsia" w:ascii="仿宋_GB2312" w:hAnsi="Segoe UI" w:eastAsia="仿宋_GB2312" w:cs="Segoe UI"/>
          <w:b/>
          <w:bCs/>
          <w:color w:val="FF0000"/>
          <w:kern w:val="0"/>
          <w:sz w:val="24"/>
          <w:szCs w:val="24"/>
          <w:lang w:val="en-US" w:eastAsia="zh-CN"/>
        </w:rPr>
      </w:pPr>
      <w:r>
        <w:rPr>
          <w:rFonts w:hint="eastAsia" w:ascii="仿宋_GB2312" w:hAnsi="Segoe UI" w:eastAsia="仿宋_GB2312" w:cs="Segoe UI"/>
          <w:b/>
          <w:bCs/>
          <w:color w:val="FF0000"/>
          <w:kern w:val="0"/>
          <w:sz w:val="24"/>
          <w:szCs w:val="24"/>
          <w:lang w:val="en-US" w:eastAsia="zh-CN"/>
        </w:rPr>
        <w:t>采购会议磋商时，供应商需携带U盘，提供报价表电子版。</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报价应是最终用户验收合格后的总价，包括设备运输、保险、代理、安装调试、培训、税费、系统集成费用和采购文件规定的其它费用。</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“序号”，按照各产品技术参数对应的序号填写。</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“品目及报价表”为多页的，每页均需由法定代表人或授权代表签字并盖投标人印章。</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“品目及报价表”需单独密封。</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color w:val="333333"/>
          <w:kern w:val="0"/>
          <w:sz w:val="24"/>
          <w:szCs w:val="24"/>
        </w:rPr>
        <w:t>如有配套耗材，请参照此表报价。</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hint="default" w:ascii="长城小标宋体" w:hAnsi="仿宋" w:eastAsia="长城小标宋体"/>
          <w:b/>
          <w:bCs/>
          <w:color w:val="000000" w:themeColor="text1"/>
          <w:sz w:val="36"/>
          <w:szCs w:val="36"/>
        </w:rPr>
      </w:pPr>
      <w:r>
        <w:rPr>
          <w:rFonts w:hint="eastAsia" w:ascii="长城小标宋体" w:hAnsi="仿宋" w:eastAsia="长城小标宋体"/>
          <w:color w:val="000000" w:themeColor="text1"/>
          <w:sz w:val="28"/>
          <w:szCs w:val="22"/>
        </w:rPr>
        <w:t xml:space="preserve"> </w:t>
      </w:r>
      <w:r>
        <w:rPr>
          <w:rFonts w:hint="eastAsia" w:ascii="长城小标宋体" w:hAnsi="仿宋" w:eastAsia="长城小标宋体"/>
          <w:b/>
          <w:bCs/>
          <w:color w:val="000000" w:themeColor="text1"/>
          <w:sz w:val="36"/>
          <w:szCs w:val="36"/>
        </w:rPr>
        <w:t>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r>
        <w:rPr>
          <w:rFonts w:hint="eastAsia" w:ascii="微软雅黑" w:hAnsi="微软雅黑" w:eastAsia="微软雅黑" w:cs="Segoe UI"/>
          <w:bCs/>
          <w:color w:val="333333"/>
          <w:kern w:val="0"/>
          <w:sz w:val="28"/>
          <w:szCs w:val="28"/>
        </w:rPr>
        <w:t>：</w:t>
      </w:r>
    </w:p>
    <w:p>
      <w:pPr>
        <w:pStyle w:val="2"/>
        <w:jc w:val="center"/>
        <w:rPr>
          <w:rFonts w:hint="default" w:ascii="长城小标宋体" w:hAnsi="仿宋" w:eastAsia="长城小标宋体"/>
          <w:b/>
          <w:bCs/>
          <w:color w:val="000000" w:themeColor="text1"/>
          <w:sz w:val="36"/>
          <w:szCs w:val="36"/>
        </w:rPr>
      </w:pPr>
      <w:r>
        <w:rPr>
          <w:rFonts w:hint="default" w:ascii="长城小标宋体" w:hAnsi="仿宋" w:eastAsia="长城小标宋体"/>
          <w:b/>
          <w:bCs/>
          <w:color w:val="000000" w:themeColor="text1"/>
          <w:sz w:val="36"/>
          <w:szCs w:val="36"/>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A8A"/>
    <w:multiLevelType w:val="singleLevel"/>
    <w:tmpl w:val="0BB43A8A"/>
    <w:lvl w:ilvl="0" w:tentative="0">
      <w:start w:val="1"/>
      <w:numFmt w:val="chineseCounting"/>
      <w:suff w:val="nothing"/>
      <w:lvlText w:val="（%1）"/>
      <w:lvlJc w:val="left"/>
      <w:rPr>
        <w:rFonts w:hint="eastAsia"/>
      </w:rPr>
    </w:lvl>
  </w:abstractNum>
  <w:abstractNum w:abstractNumId="1">
    <w:nsid w:val="795CA05F"/>
    <w:multiLevelType w:val="singleLevel"/>
    <w:tmpl w:val="795CA05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55B778C"/>
    <w:rsid w:val="067F764F"/>
    <w:rsid w:val="06B11527"/>
    <w:rsid w:val="08D2481D"/>
    <w:rsid w:val="09883DB3"/>
    <w:rsid w:val="09EC7CBF"/>
    <w:rsid w:val="12C40D67"/>
    <w:rsid w:val="14594E75"/>
    <w:rsid w:val="14B40435"/>
    <w:rsid w:val="14DC0F1A"/>
    <w:rsid w:val="15B626DC"/>
    <w:rsid w:val="1A707F41"/>
    <w:rsid w:val="1AF77FAB"/>
    <w:rsid w:val="1B821433"/>
    <w:rsid w:val="1C976D54"/>
    <w:rsid w:val="1D4A752E"/>
    <w:rsid w:val="1DE05766"/>
    <w:rsid w:val="1E997E27"/>
    <w:rsid w:val="20343F20"/>
    <w:rsid w:val="22827069"/>
    <w:rsid w:val="22CD495A"/>
    <w:rsid w:val="24081674"/>
    <w:rsid w:val="2454306B"/>
    <w:rsid w:val="25933A00"/>
    <w:rsid w:val="294E1E76"/>
    <w:rsid w:val="2ACE5E86"/>
    <w:rsid w:val="2F561655"/>
    <w:rsid w:val="33875D6B"/>
    <w:rsid w:val="35E40AE0"/>
    <w:rsid w:val="362C60DD"/>
    <w:rsid w:val="371F55C2"/>
    <w:rsid w:val="38B073BC"/>
    <w:rsid w:val="395149AF"/>
    <w:rsid w:val="397F3229"/>
    <w:rsid w:val="3A694155"/>
    <w:rsid w:val="3AE157E3"/>
    <w:rsid w:val="3B9C6D08"/>
    <w:rsid w:val="3C245962"/>
    <w:rsid w:val="3DA970F6"/>
    <w:rsid w:val="3DE462AE"/>
    <w:rsid w:val="43DD0089"/>
    <w:rsid w:val="44670A1E"/>
    <w:rsid w:val="44F24FAA"/>
    <w:rsid w:val="491346CF"/>
    <w:rsid w:val="569E1568"/>
    <w:rsid w:val="57C06FDC"/>
    <w:rsid w:val="58F77A56"/>
    <w:rsid w:val="5C4B0A19"/>
    <w:rsid w:val="63D266D5"/>
    <w:rsid w:val="63FF5919"/>
    <w:rsid w:val="644B796F"/>
    <w:rsid w:val="6A6D2706"/>
    <w:rsid w:val="70641CCB"/>
    <w:rsid w:val="719548CE"/>
    <w:rsid w:val="72C54451"/>
    <w:rsid w:val="734A410E"/>
    <w:rsid w:val="73F965D8"/>
    <w:rsid w:val="78C663ED"/>
    <w:rsid w:val="7A26492C"/>
    <w:rsid w:val="7CFF7097"/>
    <w:rsid w:val="7E21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 w:type="paragraph" w:customStyle="1" w:styleId="1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2023-06-15T02:47:00Z</cp:lastPrinted>
  <dcterms:modified xsi:type="dcterms:W3CDTF">2023-07-25T01:37:54Z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