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服务</w:t>
      </w:r>
      <w:r>
        <w:rPr>
          <w:rFonts w:hint="eastAsia" w:ascii="仿宋" w:hAnsi="仿宋" w:eastAsia="仿宋" w:cs="仿宋_GB2312"/>
          <w:b/>
          <w:bCs/>
          <w:sz w:val="32"/>
          <w:szCs w:val="32"/>
          <w:lang w:val="en-US" w:eastAsia="zh-CN"/>
        </w:rPr>
        <w:t>内容</w:t>
      </w:r>
      <w:r>
        <w:rPr>
          <w:rFonts w:hint="eastAsia" w:ascii="仿宋" w:hAnsi="仿宋" w:eastAsia="仿宋" w:cs="仿宋_GB2312"/>
          <w:b/>
          <w:bCs/>
          <w:sz w:val="32"/>
          <w:szCs w:val="32"/>
        </w:rPr>
        <w:t>及功能要求</w:t>
      </w:r>
    </w:p>
    <w:p>
      <w:pPr>
        <w:spacing w:line="360" w:lineRule="auto"/>
        <w:jc w:val="center"/>
        <w:rPr>
          <w:rFonts w:ascii="仿宋" w:hAnsi="仿宋" w:eastAsia="仿宋" w:cs="仿宋_GB2312"/>
          <w:b/>
          <w:sz w:val="32"/>
          <w:szCs w:val="32"/>
        </w:rPr>
      </w:pPr>
    </w:p>
    <w:p>
      <w:pPr>
        <w:pStyle w:val="9"/>
        <w:spacing w:before="0" w:beforeAutospacing="0" w:after="0" w:afterAutospacing="0" w:line="360" w:lineRule="auto"/>
        <w:jc w:val="both"/>
        <w:rPr>
          <w:rFonts w:ascii="黑体" w:hAnsi="黑体" w:eastAsia="黑体" w:cs="Arial"/>
          <w:b/>
          <w:bCs/>
          <w:color w:val="000000"/>
          <w:sz w:val="32"/>
          <w:szCs w:val="32"/>
        </w:rPr>
      </w:pPr>
      <w:r>
        <w:rPr>
          <w:rFonts w:hint="eastAsia" w:ascii="仿宋" w:hAnsi="仿宋" w:eastAsia="仿宋" w:cs="Arial"/>
          <w:b/>
          <w:bCs/>
          <w:color w:val="000000"/>
          <w:sz w:val="32"/>
          <w:szCs w:val="32"/>
        </w:rPr>
        <w:t xml:space="preserve">   </w:t>
      </w:r>
      <w:r>
        <w:rPr>
          <w:rFonts w:hint="eastAsia" w:ascii="黑体" w:hAnsi="黑体" w:eastAsia="黑体" w:cs="Arial"/>
          <w:b/>
          <w:bCs/>
          <w:color w:val="000000"/>
          <w:sz w:val="32"/>
          <w:szCs w:val="32"/>
        </w:rPr>
        <w:t xml:space="preserve"> 一、内容</w:t>
      </w:r>
    </w:p>
    <w:p>
      <w:pPr>
        <w:pStyle w:val="9"/>
        <w:spacing w:before="0" w:beforeAutospacing="0" w:after="0" w:afterAutospacing="0" w:line="360" w:lineRule="auto"/>
        <w:ind w:firstLine="630" w:firstLineChars="196"/>
        <w:jc w:val="both"/>
        <w:rPr>
          <w:rFonts w:ascii="仿宋" w:hAnsi="仿宋" w:eastAsia="仿宋" w:cs="Arial"/>
          <w:color w:val="333333"/>
          <w:sz w:val="32"/>
          <w:szCs w:val="32"/>
        </w:rPr>
      </w:pPr>
      <w:r>
        <w:rPr>
          <w:rFonts w:hint="eastAsia" w:ascii="仿宋" w:hAnsi="仿宋" w:eastAsia="仿宋" w:cs="Arial"/>
          <w:b/>
          <w:bCs/>
          <w:color w:val="000000"/>
          <w:sz w:val="32"/>
          <w:szCs w:val="32"/>
        </w:rPr>
        <w:t>包括但不限于：</w:t>
      </w:r>
      <w:r>
        <w:rPr>
          <w:rFonts w:hint="eastAsia" w:ascii="仿宋" w:hAnsi="仿宋" w:eastAsia="仿宋" w:cs="Arial"/>
          <w:color w:val="000000"/>
          <w:sz w:val="32"/>
          <w:szCs w:val="32"/>
        </w:rPr>
        <w:t xml:space="preserve">  </w:t>
      </w:r>
    </w:p>
    <w:p>
      <w:pPr>
        <w:pStyle w:val="9"/>
        <w:spacing w:before="0" w:beforeAutospacing="0" w:after="0" w:afterAutospacing="0" w:line="360" w:lineRule="auto"/>
        <w:rPr>
          <w:rFonts w:ascii="仿宋" w:hAnsi="仿宋" w:eastAsia="仿宋" w:cs="Arial"/>
          <w:color w:val="333333"/>
          <w:sz w:val="32"/>
          <w:szCs w:val="32"/>
        </w:rPr>
      </w:pPr>
      <w:r>
        <w:rPr>
          <w:rFonts w:hint="eastAsia" w:ascii="仿宋" w:hAnsi="仿宋" w:eastAsia="仿宋" w:cs="Arial"/>
          <w:color w:val="000000"/>
          <w:sz w:val="32"/>
          <w:szCs w:val="32"/>
        </w:rPr>
        <w:t xml:space="preserve">   1.提供与医院相关新闻与媒体信息监测（包括平面媒体、主流网站、视频网站、移动互联网、自媒体信息等）；提供每日、每月、每半年、每年度专业数据统计、传播分析及医院宣传策划工作统计等信息；</w:t>
      </w:r>
    </w:p>
    <w:p>
      <w:pPr>
        <w:pStyle w:val="9"/>
        <w:spacing w:before="0" w:beforeAutospacing="0" w:after="0" w:afterAutospacing="0" w:line="360" w:lineRule="auto"/>
        <w:rPr>
          <w:rFonts w:ascii="仿宋" w:hAnsi="仿宋" w:eastAsia="仿宋" w:cs="Arial"/>
          <w:color w:val="333333"/>
          <w:sz w:val="32"/>
          <w:szCs w:val="32"/>
        </w:rPr>
      </w:pPr>
      <w:r>
        <w:rPr>
          <w:rFonts w:hint="eastAsia" w:ascii="仿宋" w:hAnsi="仿宋" w:eastAsia="仿宋" w:cs="Arial"/>
          <w:color w:val="000000"/>
          <w:sz w:val="32"/>
          <w:szCs w:val="32"/>
        </w:rPr>
        <w:t xml:space="preserve">   2.能够提供医院突发网络新闻事件相关专业应对建议，并提供相关类似事件案例信息；</w:t>
      </w:r>
    </w:p>
    <w:p>
      <w:pPr>
        <w:pStyle w:val="9"/>
        <w:spacing w:before="0" w:beforeAutospacing="0" w:after="0" w:afterAutospacing="0" w:line="360" w:lineRule="auto"/>
        <w:ind w:left="479" w:leftChars="152" w:hanging="160" w:hangingChars="50"/>
        <w:rPr>
          <w:rFonts w:ascii="仿宋" w:hAnsi="仿宋" w:eastAsia="仿宋" w:cs="Arial"/>
          <w:color w:val="000000"/>
          <w:sz w:val="32"/>
          <w:szCs w:val="32"/>
        </w:rPr>
      </w:pPr>
      <w:r>
        <w:rPr>
          <w:rFonts w:hint="eastAsia" w:ascii="仿宋" w:hAnsi="仿宋" w:eastAsia="仿宋" w:cs="Arial"/>
          <w:color w:val="000000"/>
          <w:sz w:val="32"/>
          <w:szCs w:val="32"/>
        </w:rPr>
        <w:t xml:space="preserve"> 3.具有良好的商业信誉和健全的财务会计制度；</w:t>
      </w:r>
      <w:r>
        <w:rPr>
          <w:rFonts w:ascii="仿宋" w:hAnsi="仿宋" w:eastAsia="仿宋" w:cs="Arial"/>
          <w:color w:val="333333"/>
          <w:sz w:val="32"/>
          <w:szCs w:val="32"/>
        </w:rPr>
        <w:br w:type="textWrapping"/>
      </w:r>
      <w:r>
        <w:rPr>
          <w:rFonts w:hint="eastAsia" w:ascii="仿宋" w:hAnsi="仿宋" w:eastAsia="仿宋" w:cs="Arial"/>
          <w:color w:val="000000"/>
          <w:sz w:val="32"/>
          <w:szCs w:val="32"/>
        </w:rPr>
        <w:t>4.近年来有较好业绩且无不良商业行为；</w:t>
      </w:r>
      <w:r>
        <w:rPr>
          <w:rFonts w:ascii="仿宋" w:hAnsi="仿宋" w:eastAsia="仿宋" w:cs="Arial"/>
          <w:color w:val="333333"/>
          <w:sz w:val="32"/>
          <w:szCs w:val="32"/>
        </w:rPr>
        <w:br w:type="textWrapping"/>
      </w:r>
      <w:r>
        <w:rPr>
          <w:rFonts w:hint="eastAsia" w:ascii="仿宋" w:hAnsi="仿宋" w:eastAsia="仿宋" w:cs="Arial"/>
          <w:color w:val="000000"/>
          <w:sz w:val="32"/>
          <w:szCs w:val="32"/>
        </w:rPr>
        <w:t>5.具备科学有效的信息监测系统，对医院行业有较深的</w:t>
      </w:r>
    </w:p>
    <w:p>
      <w:pPr>
        <w:pStyle w:val="9"/>
        <w:spacing w:before="0" w:beforeAutospacing="0" w:after="0" w:afterAutospacing="0" w:line="360" w:lineRule="auto"/>
        <w:rPr>
          <w:rFonts w:ascii="仿宋" w:hAnsi="仿宋" w:eastAsia="仿宋" w:cs="Arial"/>
          <w:color w:val="000000"/>
          <w:sz w:val="32"/>
          <w:szCs w:val="32"/>
        </w:rPr>
      </w:pPr>
      <w:r>
        <w:rPr>
          <w:rFonts w:hint="eastAsia" w:ascii="仿宋" w:hAnsi="仿宋" w:eastAsia="仿宋" w:cs="Arial"/>
          <w:color w:val="000000"/>
          <w:sz w:val="32"/>
          <w:szCs w:val="32"/>
        </w:rPr>
        <w:t>了解与认识，成功承接过医院行业的年度信息监测业务；</w:t>
      </w:r>
      <w:r>
        <w:rPr>
          <w:rFonts w:hint="eastAsia" w:ascii="仿宋" w:hAnsi="仿宋" w:eastAsia="仿宋" w:cs="Arial"/>
          <w:color w:val="000000"/>
          <w:sz w:val="32"/>
          <w:szCs w:val="32"/>
        </w:rPr>
        <w:br w:type="textWrapping"/>
      </w:r>
      <w:r>
        <w:rPr>
          <w:rFonts w:hint="eastAsia" w:ascii="仿宋" w:hAnsi="仿宋" w:eastAsia="仿宋" w:cs="Arial"/>
          <w:color w:val="000000"/>
          <w:sz w:val="32"/>
          <w:szCs w:val="32"/>
        </w:rPr>
        <w:t xml:space="preserve">   6.配备有两年以上医院行业新闻信息监测与分析的工作经验的专人负责我院新闻媒体信息监测工作；</w:t>
      </w:r>
    </w:p>
    <w:p>
      <w:pPr>
        <w:pStyle w:val="9"/>
        <w:spacing w:before="0" w:beforeAutospacing="0" w:after="0" w:afterAutospacing="0" w:line="360" w:lineRule="auto"/>
        <w:ind w:firstLine="480" w:firstLineChars="150"/>
        <w:rPr>
          <w:rFonts w:ascii="仿宋" w:hAnsi="仿宋" w:eastAsia="仿宋" w:cs="Arial"/>
          <w:color w:val="000000"/>
          <w:sz w:val="32"/>
          <w:szCs w:val="32"/>
        </w:rPr>
      </w:pPr>
      <w:r>
        <w:rPr>
          <w:rFonts w:hint="eastAsia" w:ascii="仿宋" w:hAnsi="仿宋" w:eastAsia="仿宋" w:cs="Arial"/>
          <w:color w:val="000000"/>
          <w:sz w:val="32"/>
          <w:szCs w:val="32"/>
        </w:rPr>
        <w:t>7.提供专业信息报送软件，提供7天*24小时服务。</w:t>
      </w:r>
    </w:p>
    <w:p>
      <w:pPr>
        <w:pStyle w:val="9"/>
        <w:spacing w:before="0" w:beforeAutospacing="0" w:after="0" w:afterAutospacing="0" w:line="360" w:lineRule="auto"/>
        <w:ind w:firstLine="480" w:firstLineChars="150"/>
        <w:rPr>
          <w:rFonts w:ascii="黑体" w:hAnsi="黑体" w:eastAsia="黑体" w:cs="仿宋_GB2312"/>
          <w:sz w:val="32"/>
          <w:szCs w:val="32"/>
        </w:rPr>
      </w:pPr>
      <w:r>
        <w:rPr>
          <w:rFonts w:hint="eastAsia" w:ascii="黑体" w:hAnsi="黑体" w:eastAsia="黑体" w:cs="Arial"/>
          <w:color w:val="000000"/>
          <w:sz w:val="32"/>
          <w:szCs w:val="32"/>
        </w:rPr>
        <w:t>二、</w:t>
      </w:r>
      <w:r>
        <w:rPr>
          <w:rFonts w:hint="eastAsia" w:ascii="黑体" w:hAnsi="黑体" w:eastAsia="黑体" w:cs="仿宋_GB2312"/>
          <w:sz w:val="32"/>
          <w:szCs w:val="32"/>
        </w:rPr>
        <w:t>服务期</w:t>
      </w:r>
    </w:p>
    <w:p>
      <w:pPr>
        <w:pStyle w:val="9"/>
        <w:spacing w:before="0" w:beforeAutospacing="0" w:after="0" w:afterAutospacing="0" w:line="360" w:lineRule="auto"/>
        <w:ind w:firstLine="480" w:firstLineChars="150"/>
        <w:rPr>
          <w:rFonts w:hint="eastAsia" w:ascii="仿宋" w:hAnsi="仿宋" w:eastAsia="仿宋" w:cs="仿宋_GB2312"/>
          <w:sz w:val="32"/>
          <w:szCs w:val="32"/>
        </w:rPr>
      </w:pPr>
      <w:r>
        <w:rPr>
          <w:rFonts w:hint="eastAsia" w:ascii="仿宋" w:hAnsi="仿宋" w:eastAsia="仿宋" w:cs="仿宋_GB2312"/>
          <w:sz w:val="32"/>
          <w:szCs w:val="32"/>
          <w:highlight w:val="yellow"/>
        </w:rPr>
        <w:t>1年，</w:t>
      </w:r>
      <w:r>
        <w:rPr>
          <w:rFonts w:hint="eastAsia" w:ascii="仿宋" w:hAnsi="仿宋" w:eastAsia="仿宋" w:cs="仿宋_GB2312"/>
          <w:sz w:val="32"/>
          <w:szCs w:val="32"/>
        </w:rPr>
        <w:t>到期时使用单位根据维保单位服务情况决定是否续签合同。出现重大责任事故或者维保单位严重违反合同约定时，使用单位有权随时解除合同。</w:t>
      </w:r>
    </w:p>
    <w:p>
      <w:pPr>
        <w:pStyle w:val="4"/>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lang w:eastAsia="zh-CN"/>
        </w:rPr>
        <w:t>、采购预算及最高限价</w:t>
      </w:r>
    </w:p>
    <w:p>
      <w:pPr>
        <w:pStyle w:val="4"/>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_GB2312"/>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楷体_GB2312" w:hAnsi="楷体_GB2312" w:eastAsia="楷体_GB2312" w:cs="楷体_GB2312"/>
          <w:color w:val="000000"/>
          <w:kern w:val="0"/>
          <w:sz w:val="32"/>
          <w:szCs w:val="32"/>
          <w:lang w:val="en-US" w:eastAsia="zh-CN" w:bidi="ar"/>
        </w:rPr>
        <w:t>预算金额：</w:t>
      </w:r>
      <w:r>
        <w:rPr>
          <w:rFonts w:hint="default" w:ascii="仿宋" w:hAnsi="仿宋" w:eastAsia="仿宋" w:cs="仿宋_GB2312"/>
          <w:kern w:val="2"/>
          <w:sz w:val="32"/>
          <w:szCs w:val="32"/>
          <w:lang w:val="en-US" w:eastAsia="zh-CN" w:bidi="ar-SA"/>
        </w:rPr>
        <w:t>202</w:t>
      </w:r>
      <w:r>
        <w:rPr>
          <w:rFonts w:hint="eastAsia" w:ascii="仿宋" w:hAnsi="仿宋" w:eastAsia="仿宋" w:cs="仿宋_GB2312"/>
          <w:kern w:val="2"/>
          <w:sz w:val="32"/>
          <w:szCs w:val="32"/>
          <w:lang w:val="en-US" w:eastAsia="zh-CN" w:bidi="ar-SA"/>
        </w:rPr>
        <w:t>3</w:t>
      </w:r>
      <w:r>
        <w:rPr>
          <w:rFonts w:hint="default" w:ascii="仿宋" w:hAnsi="仿宋" w:eastAsia="仿宋" w:cs="仿宋_GB2312"/>
          <w:kern w:val="2"/>
          <w:sz w:val="32"/>
          <w:szCs w:val="32"/>
          <w:lang w:val="en-US" w:eastAsia="zh-CN" w:bidi="ar-SA"/>
        </w:rPr>
        <w:t>年度</w:t>
      </w:r>
      <w:r>
        <w:rPr>
          <w:rFonts w:hint="eastAsia" w:ascii="仿宋" w:hAnsi="仿宋" w:eastAsia="仿宋" w:cs="仿宋_GB2312"/>
          <w:kern w:val="2"/>
          <w:sz w:val="32"/>
          <w:szCs w:val="32"/>
          <w:lang w:val="en-US" w:eastAsia="zh-CN" w:bidi="ar-SA"/>
        </w:rPr>
        <w:t>网络新闻与媒体传播信息监测服务项目</w:t>
      </w:r>
      <w:r>
        <w:rPr>
          <w:rFonts w:hint="default" w:ascii="仿宋" w:hAnsi="仿宋" w:eastAsia="仿宋" w:cs="仿宋_GB2312"/>
          <w:kern w:val="2"/>
          <w:sz w:val="32"/>
          <w:szCs w:val="32"/>
          <w:lang w:val="en-US" w:eastAsia="zh-CN" w:bidi="ar-SA"/>
        </w:rPr>
        <w:t>预算为</w:t>
      </w:r>
      <w:r>
        <w:rPr>
          <w:rFonts w:hint="eastAsia" w:ascii="仿宋" w:hAnsi="仿宋" w:eastAsia="仿宋" w:cs="仿宋_GB2312"/>
          <w:kern w:val="2"/>
          <w:sz w:val="32"/>
          <w:szCs w:val="32"/>
          <w:lang w:val="en-US" w:eastAsia="zh-CN" w:bidi="ar-SA"/>
        </w:rPr>
        <w:t>10万</w:t>
      </w:r>
      <w:r>
        <w:rPr>
          <w:rFonts w:hint="default" w:ascii="仿宋" w:hAnsi="仿宋" w:eastAsia="仿宋" w:cs="仿宋_GB2312"/>
          <w:kern w:val="2"/>
          <w:sz w:val="32"/>
          <w:szCs w:val="32"/>
          <w:lang w:val="en-US" w:eastAsia="zh-CN" w:bidi="ar-SA"/>
        </w:rPr>
        <w:t>元。</w:t>
      </w:r>
    </w:p>
    <w:p>
      <w:pPr>
        <w:pStyle w:val="4"/>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_GB2312"/>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楷体_GB2312" w:hAnsi="楷体_GB2312" w:eastAsia="楷体_GB2312" w:cs="楷体_GB2312"/>
          <w:color w:val="000000"/>
          <w:kern w:val="0"/>
          <w:sz w:val="32"/>
          <w:szCs w:val="32"/>
          <w:lang w:val="en-US" w:eastAsia="zh-CN" w:bidi="ar"/>
        </w:rPr>
        <w:t>最高限价：</w:t>
      </w:r>
      <w:r>
        <w:rPr>
          <w:rFonts w:hint="default" w:ascii="仿宋" w:hAnsi="仿宋" w:eastAsia="仿宋" w:cs="仿宋_GB2312"/>
          <w:kern w:val="2"/>
          <w:sz w:val="32"/>
          <w:szCs w:val="32"/>
          <w:lang w:val="en-US" w:eastAsia="zh-CN" w:bidi="ar-SA"/>
        </w:rPr>
        <w:t>202</w:t>
      </w:r>
      <w:r>
        <w:rPr>
          <w:rFonts w:hint="eastAsia" w:ascii="仿宋" w:hAnsi="仿宋" w:eastAsia="仿宋" w:cs="仿宋_GB2312"/>
          <w:kern w:val="2"/>
          <w:sz w:val="32"/>
          <w:szCs w:val="32"/>
          <w:lang w:val="en-US" w:eastAsia="zh-CN" w:bidi="ar-SA"/>
        </w:rPr>
        <w:t>3</w:t>
      </w:r>
      <w:r>
        <w:rPr>
          <w:rFonts w:hint="default" w:ascii="仿宋" w:hAnsi="仿宋" w:eastAsia="仿宋" w:cs="仿宋_GB2312"/>
          <w:kern w:val="2"/>
          <w:sz w:val="32"/>
          <w:szCs w:val="32"/>
          <w:lang w:val="en-US" w:eastAsia="zh-CN" w:bidi="ar-SA"/>
        </w:rPr>
        <w:t>年度</w:t>
      </w:r>
      <w:r>
        <w:rPr>
          <w:rFonts w:hint="eastAsia" w:ascii="仿宋" w:hAnsi="仿宋" w:eastAsia="仿宋" w:cs="仿宋_GB2312"/>
          <w:kern w:val="2"/>
          <w:sz w:val="32"/>
          <w:szCs w:val="32"/>
          <w:lang w:val="en-US" w:eastAsia="zh-CN" w:bidi="ar-SA"/>
        </w:rPr>
        <w:t>网络新闻与媒体传播信息监测服务项目</w:t>
      </w:r>
      <w:r>
        <w:rPr>
          <w:rFonts w:hint="default" w:ascii="仿宋" w:hAnsi="仿宋" w:eastAsia="仿宋" w:cs="仿宋_GB2312"/>
          <w:kern w:val="2"/>
          <w:sz w:val="32"/>
          <w:szCs w:val="32"/>
          <w:lang w:val="en-US" w:eastAsia="zh-CN" w:bidi="ar-SA"/>
        </w:rPr>
        <w:t>最高限价为</w:t>
      </w:r>
      <w:r>
        <w:rPr>
          <w:rFonts w:hint="eastAsia" w:ascii="仿宋" w:hAnsi="仿宋" w:eastAsia="仿宋" w:cs="仿宋_GB2312"/>
          <w:kern w:val="2"/>
          <w:sz w:val="32"/>
          <w:szCs w:val="32"/>
          <w:lang w:val="en-US" w:eastAsia="zh-CN" w:bidi="ar-SA"/>
        </w:rPr>
        <w:t>10万</w:t>
      </w:r>
      <w:r>
        <w:rPr>
          <w:rFonts w:hint="default" w:ascii="仿宋" w:hAnsi="仿宋" w:eastAsia="仿宋" w:cs="仿宋_GB2312"/>
          <w:kern w:val="2"/>
          <w:sz w:val="32"/>
          <w:szCs w:val="32"/>
          <w:lang w:val="en-US" w:eastAsia="zh-CN" w:bidi="ar-SA"/>
        </w:rPr>
        <w:t>元。</w:t>
      </w: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pPr>
    </w:p>
    <w:p>
      <w:pPr>
        <w:spacing w:line="440" w:lineRule="exact"/>
        <w:ind w:firstLine="643" w:firstLineChars="200"/>
        <w:rPr>
          <w:rFonts w:hint="eastAsia" w:ascii="黑体" w:hAnsi="黑体" w:eastAsia="黑体" w:cs="仿宋_GB2312"/>
          <w:b/>
          <w:bCs/>
          <w:sz w:val="32"/>
          <w:szCs w:val="32"/>
          <w:lang w:val="en-US" w:eastAsia="zh-CN"/>
        </w:rPr>
        <w:sectPr>
          <w:pgSz w:w="11906" w:h="16838"/>
          <w:pgMar w:top="1440" w:right="1800" w:bottom="1440" w:left="1800" w:header="851" w:footer="992" w:gutter="0"/>
          <w:cols w:space="425" w:num="1"/>
          <w:docGrid w:type="lines" w:linePitch="312" w:charSpace="0"/>
        </w:sectPr>
      </w:pPr>
    </w:p>
    <w:p>
      <w:pPr>
        <w:widowControl/>
        <w:shd w:val="clear" w:color="auto"/>
        <w:wordWrap w:val="0"/>
        <w:spacing w:line="400" w:lineRule="atLeast"/>
        <w:jc w:val="left"/>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附件1             2023年度网络新闻与媒体传播信息监测服务项目评分标准</w:t>
      </w:r>
    </w:p>
    <w:p>
      <w:pPr>
        <w:spacing w:line="440" w:lineRule="exact"/>
        <w:ind w:firstLine="643" w:firstLineChars="200"/>
        <w:rPr>
          <w:rFonts w:hint="eastAsia" w:ascii="黑体" w:hAnsi="黑体" w:eastAsia="黑体" w:cs="仿宋_GB2312"/>
          <w:b/>
          <w:bCs/>
          <w:sz w:val="32"/>
          <w:szCs w:val="32"/>
          <w:lang w:val="en-US" w:eastAsia="zh-CN"/>
        </w:rPr>
      </w:pPr>
    </w:p>
    <w:tbl>
      <w:tblPr>
        <w:tblStyle w:val="10"/>
        <w:tblW w:w="13898" w:type="dxa"/>
        <w:jc w:val="center"/>
        <w:tblLayout w:type="fixed"/>
        <w:tblCellMar>
          <w:top w:w="0" w:type="dxa"/>
          <w:left w:w="108" w:type="dxa"/>
          <w:bottom w:w="0" w:type="dxa"/>
          <w:right w:w="108" w:type="dxa"/>
        </w:tblCellMar>
      </w:tblPr>
      <w:tblGrid>
        <w:gridCol w:w="921"/>
        <w:gridCol w:w="1594"/>
        <w:gridCol w:w="1125"/>
        <w:gridCol w:w="10258"/>
      </w:tblGrid>
      <w:tr>
        <w:tblPrEx>
          <w:tblCellMar>
            <w:top w:w="0" w:type="dxa"/>
            <w:left w:w="108" w:type="dxa"/>
            <w:bottom w:w="0" w:type="dxa"/>
            <w:right w:w="108" w:type="dxa"/>
          </w:tblCellMar>
        </w:tblPrEx>
        <w:trPr>
          <w:trHeight w:val="77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华文仿宋" w:hAnsi="华文仿宋" w:eastAsia="华文仿宋" w:cs="华文仿宋"/>
                <w:b/>
                <w:bCs/>
                <w:sz w:val="24"/>
                <w:szCs w:val="24"/>
              </w:rPr>
            </w:pPr>
            <w:r>
              <w:rPr>
                <w:rFonts w:hint="eastAsia" w:ascii="华文仿宋" w:hAnsi="华文仿宋" w:eastAsia="华文仿宋" w:cs="华文仿宋"/>
                <w:b/>
                <w:bCs/>
                <w:sz w:val="24"/>
                <w:szCs w:val="24"/>
              </w:rPr>
              <w:t>序号</w:t>
            </w:r>
          </w:p>
        </w:tc>
        <w:tc>
          <w:tcPr>
            <w:tcW w:w="1594" w:type="dxa"/>
            <w:tcBorders>
              <w:top w:val="single" w:color="auto" w:sz="4" w:space="0"/>
              <w:left w:val="nil"/>
              <w:bottom w:val="single" w:color="auto" w:sz="4" w:space="0"/>
              <w:right w:val="single" w:color="auto" w:sz="4" w:space="0"/>
            </w:tcBorders>
            <w:vAlign w:val="center"/>
          </w:tcPr>
          <w:p>
            <w:pPr>
              <w:spacing w:line="276" w:lineRule="auto"/>
              <w:jc w:val="center"/>
              <w:rPr>
                <w:rFonts w:ascii="华文仿宋" w:hAnsi="华文仿宋" w:eastAsia="华文仿宋" w:cs="华文仿宋"/>
                <w:b/>
                <w:bCs/>
                <w:sz w:val="24"/>
                <w:szCs w:val="24"/>
              </w:rPr>
            </w:pPr>
            <w:r>
              <w:rPr>
                <w:rFonts w:hint="eastAsia" w:ascii="华文仿宋" w:hAnsi="华文仿宋" w:eastAsia="华文仿宋" w:cs="华文仿宋"/>
                <w:b/>
                <w:bCs/>
                <w:sz w:val="24"/>
                <w:szCs w:val="24"/>
              </w:rPr>
              <w:t>项 目</w:t>
            </w:r>
          </w:p>
        </w:tc>
        <w:tc>
          <w:tcPr>
            <w:tcW w:w="1125" w:type="dxa"/>
            <w:tcBorders>
              <w:top w:val="single" w:color="auto" w:sz="4" w:space="0"/>
              <w:left w:val="nil"/>
              <w:bottom w:val="single" w:color="auto" w:sz="4" w:space="0"/>
              <w:right w:val="single" w:color="auto" w:sz="4" w:space="0"/>
            </w:tcBorders>
            <w:vAlign w:val="center"/>
          </w:tcPr>
          <w:p>
            <w:pPr>
              <w:spacing w:line="276" w:lineRule="auto"/>
              <w:jc w:val="center"/>
              <w:rPr>
                <w:rFonts w:ascii="华文仿宋" w:hAnsi="华文仿宋" w:eastAsia="华文仿宋" w:cs="华文仿宋"/>
                <w:b/>
                <w:bCs/>
                <w:sz w:val="24"/>
                <w:szCs w:val="24"/>
              </w:rPr>
            </w:pPr>
            <w:r>
              <w:rPr>
                <w:rFonts w:hint="eastAsia" w:ascii="华文仿宋" w:hAnsi="华文仿宋" w:eastAsia="华文仿宋" w:cs="华文仿宋"/>
                <w:b/>
                <w:bCs/>
                <w:sz w:val="24"/>
                <w:szCs w:val="24"/>
              </w:rPr>
              <w:t>分值</w:t>
            </w:r>
          </w:p>
        </w:tc>
        <w:tc>
          <w:tcPr>
            <w:tcW w:w="10258" w:type="dxa"/>
            <w:tcBorders>
              <w:top w:val="single" w:color="auto" w:sz="4" w:space="0"/>
              <w:left w:val="nil"/>
              <w:bottom w:val="single" w:color="auto" w:sz="4" w:space="0"/>
              <w:right w:val="single" w:color="auto" w:sz="4" w:space="0"/>
            </w:tcBorders>
            <w:vAlign w:val="center"/>
          </w:tcPr>
          <w:p>
            <w:pPr>
              <w:spacing w:line="276" w:lineRule="auto"/>
              <w:ind w:firstLine="843" w:firstLineChars="350"/>
              <w:jc w:val="center"/>
              <w:rPr>
                <w:rFonts w:ascii="华文仿宋" w:hAnsi="华文仿宋" w:eastAsia="华文仿宋" w:cs="华文仿宋"/>
                <w:b/>
                <w:bCs/>
                <w:sz w:val="24"/>
                <w:szCs w:val="24"/>
              </w:rPr>
            </w:pPr>
            <w:r>
              <w:rPr>
                <w:rFonts w:hint="eastAsia" w:ascii="华文仿宋" w:hAnsi="华文仿宋" w:eastAsia="华文仿宋" w:cs="华文仿宋"/>
                <w:b/>
                <w:bCs/>
                <w:sz w:val="24"/>
                <w:szCs w:val="24"/>
              </w:rPr>
              <w:t>内    容</w:t>
            </w:r>
          </w:p>
        </w:tc>
      </w:tr>
      <w:tr>
        <w:tblPrEx>
          <w:tblCellMar>
            <w:top w:w="0" w:type="dxa"/>
            <w:left w:w="108" w:type="dxa"/>
            <w:bottom w:w="0" w:type="dxa"/>
            <w:right w:w="108" w:type="dxa"/>
          </w:tblCellMar>
        </w:tblPrEx>
        <w:trPr>
          <w:trHeight w:val="126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jc w:val="both"/>
              <w:rPr>
                <w:rFonts w:ascii="华文仿宋" w:hAnsi="华文仿宋" w:eastAsia="华文仿宋" w:cs="华文仿宋"/>
                <w:sz w:val="24"/>
                <w:szCs w:val="24"/>
              </w:rPr>
            </w:pPr>
            <w:r>
              <w:rPr>
                <w:rFonts w:hint="eastAsia" w:ascii="华文仿宋" w:hAnsi="华文仿宋" w:eastAsia="华文仿宋" w:cs="华文仿宋"/>
                <w:sz w:val="24"/>
                <w:szCs w:val="24"/>
              </w:rPr>
              <w:t>1</w:t>
            </w:r>
          </w:p>
        </w:tc>
        <w:tc>
          <w:tcPr>
            <w:tcW w:w="1594"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响应报价</w:t>
            </w:r>
          </w:p>
          <w:p>
            <w:pPr>
              <w:pStyle w:val="18"/>
              <w:adjustRightInd w:val="0"/>
              <w:snapToGrid w:val="0"/>
              <w:spacing w:line="240" w:lineRule="atLeast"/>
              <w:jc w:val="center"/>
              <w:rPr>
                <w:rFonts w:ascii="华文仿宋" w:hAnsi="华文仿宋" w:eastAsia="华文仿宋" w:cs="华文仿宋"/>
                <w:sz w:val="24"/>
                <w:szCs w:val="24"/>
              </w:rPr>
            </w:pPr>
            <w:r>
              <w:rPr>
                <w:rFonts w:hint="default" w:ascii="Times New Roman" w:hAnsi="Times New Roman" w:eastAsia="仿宋_GB2312" w:cs="Times New Roman"/>
                <w:bCs/>
                <w:color w:val="auto"/>
                <w:sz w:val="24"/>
                <w:szCs w:val="24"/>
                <w:lang w:val="en-US" w:eastAsia="zh-CN"/>
              </w:rPr>
              <w:t>20</w:t>
            </w:r>
            <w:r>
              <w:rPr>
                <w:rFonts w:hint="default" w:ascii="Times New Roman" w:hAnsi="Times New Roman" w:eastAsia="仿宋_GB2312" w:cs="Times New Roman"/>
                <w:bCs/>
                <w:color w:val="auto"/>
                <w:sz w:val="24"/>
                <w:szCs w:val="24"/>
              </w:rPr>
              <w:t>%</w:t>
            </w:r>
          </w:p>
        </w:tc>
        <w:tc>
          <w:tcPr>
            <w:tcW w:w="1125" w:type="dxa"/>
            <w:tcBorders>
              <w:top w:val="single" w:color="auto" w:sz="4" w:space="0"/>
              <w:left w:val="nil"/>
              <w:bottom w:val="single" w:color="auto" w:sz="4" w:space="0"/>
              <w:right w:val="single" w:color="auto" w:sz="4" w:space="0"/>
            </w:tcBorders>
            <w:vAlign w:val="center"/>
          </w:tcPr>
          <w:p>
            <w:pPr>
              <w:pStyle w:val="18"/>
              <w:widowControl/>
              <w:jc w:val="center"/>
              <w:rPr>
                <w:rFonts w:ascii="华文仿宋" w:hAnsi="华文仿宋" w:eastAsia="华文仿宋" w:cs="华文仿宋"/>
                <w:sz w:val="24"/>
                <w:szCs w:val="24"/>
              </w:rPr>
            </w:pPr>
            <w:r>
              <w:rPr>
                <w:rFonts w:hint="default" w:ascii="Times New Roman" w:hAnsi="Times New Roman" w:eastAsia="仿宋_GB2312" w:cs="Times New Roman"/>
                <w:bCs/>
                <w:color w:val="auto"/>
                <w:sz w:val="24"/>
                <w:szCs w:val="24"/>
              </w:rPr>
              <w:t>2</w:t>
            </w:r>
            <w:r>
              <w:rPr>
                <w:rFonts w:hint="default" w:ascii="Times New Roman" w:hAnsi="Times New Roman" w:eastAsia="仿宋_GB2312" w:cs="Times New Roman"/>
                <w:bCs/>
                <w:color w:val="auto"/>
                <w:sz w:val="24"/>
                <w:szCs w:val="24"/>
                <w:lang w:val="en-US" w:eastAsia="zh-CN"/>
              </w:rPr>
              <w:t>0</w:t>
            </w:r>
            <w:r>
              <w:rPr>
                <w:rFonts w:hint="default" w:ascii="Times New Roman" w:hAnsi="Times New Roman" w:eastAsia="仿宋_GB2312" w:cs="Times New Roman"/>
                <w:bCs/>
                <w:color w:val="auto"/>
                <w:sz w:val="24"/>
                <w:szCs w:val="24"/>
              </w:rPr>
              <w:t>分</w:t>
            </w:r>
          </w:p>
        </w:tc>
        <w:tc>
          <w:tcPr>
            <w:tcW w:w="10258" w:type="dxa"/>
            <w:tcBorders>
              <w:top w:val="single" w:color="auto" w:sz="4" w:space="0"/>
              <w:left w:val="nil"/>
              <w:bottom w:val="single" w:color="auto" w:sz="4" w:space="0"/>
              <w:right w:val="single" w:color="auto" w:sz="4" w:space="0"/>
            </w:tcBorders>
            <w:vAlign w:val="center"/>
          </w:tcPr>
          <w:p>
            <w:pPr>
              <w:pStyle w:val="18"/>
              <w:widowControl/>
              <w:jc w:val="left"/>
              <w:rPr>
                <w:rFonts w:ascii="华文仿宋" w:hAnsi="华文仿宋" w:eastAsia="华文仿宋" w:cs="华文仿宋"/>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r>
      <w:tr>
        <w:tblPrEx>
          <w:tblCellMar>
            <w:top w:w="0" w:type="dxa"/>
            <w:left w:w="108" w:type="dxa"/>
            <w:bottom w:w="0" w:type="dxa"/>
            <w:right w:w="108" w:type="dxa"/>
          </w:tblCellMar>
        </w:tblPrEx>
        <w:trPr>
          <w:trHeight w:val="817" w:hRule="atLeast"/>
          <w:jc w:val="center"/>
        </w:trPr>
        <w:tc>
          <w:tcPr>
            <w:tcW w:w="921" w:type="dxa"/>
            <w:vMerge w:val="restart"/>
            <w:tcBorders>
              <w:top w:val="single" w:color="auto" w:sz="4" w:space="0"/>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2</w:t>
            </w:r>
          </w:p>
        </w:tc>
        <w:tc>
          <w:tcPr>
            <w:tcW w:w="159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服务方案</w:t>
            </w:r>
          </w:p>
          <w:p>
            <w:pPr>
              <w:spacing w:line="276" w:lineRule="auto"/>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45%</w:t>
            </w:r>
          </w:p>
        </w:tc>
        <w:tc>
          <w:tcPr>
            <w:tcW w:w="1125" w:type="dxa"/>
            <w:vMerge w:val="restart"/>
            <w:tcBorders>
              <w:top w:val="single" w:color="auto" w:sz="4" w:space="0"/>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4</w:t>
            </w: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分</w:t>
            </w:r>
          </w:p>
        </w:tc>
        <w:tc>
          <w:tcPr>
            <w:tcW w:w="10258" w:type="dxa"/>
            <w:tcBorders>
              <w:top w:val="nil"/>
              <w:left w:val="nil"/>
              <w:bottom w:val="single" w:color="auto" w:sz="4" w:space="0"/>
              <w:right w:val="single" w:color="auto" w:sz="4" w:space="0"/>
            </w:tcBorders>
            <w:vAlign w:val="center"/>
          </w:tcPr>
          <w:p>
            <w:pPr>
              <w:shd w:val="clear"/>
              <w:spacing w:line="300" w:lineRule="exact"/>
              <w:jc w:val="left"/>
              <w:rPr>
                <w:rFonts w:hint="eastAsia" w:ascii="华文仿宋" w:hAnsi="华文仿宋" w:eastAsia="仿宋_GB2312" w:cs="华文仿宋"/>
                <w:sz w:val="24"/>
                <w:szCs w:val="24"/>
                <w:lang w:val="en-US" w:eastAsia="zh-CN"/>
              </w:rPr>
            </w:pPr>
            <w:r>
              <w:rPr>
                <w:rFonts w:hint="eastAsia" w:ascii="Times New Roman" w:hAnsi="Times New Roman" w:eastAsia="仿宋_GB2312" w:cs="Times New Roman"/>
                <w:bCs/>
                <w:kern w:val="0"/>
                <w:sz w:val="24"/>
                <w:szCs w:val="24"/>
                <w:lang w:val="en-US" w:eastAsia="zh-CN"/>
              </w:rPr>
              <w:t>服务</w:t>
            </w:r>
            <w:r>
              <w:rPr>
                <w:rFonts w:hint="default" w:ascii="Times New Roman" w:hAnsi="Times New Roman" w:eastAsia="仿宋_GB2312" w:cs="Times New Roman"/>
                <w:bCs/>
                <w:kern w:val="0"/>
                <w:sz w:val="24"/>
                <w:szCs w:val="24"/>
              </w:rPr>
              <w:t>施方案是否按照招标文件要求并结合自身执业经验提出明确的</w:t>
            </w:r>
            <w:r>
              <w:rPr>
                <w:rFonts w:hint="eastAsia" w:ascii="Times New Roman" w:hAnsi="Times New Roman" w:eastAsia="仿宋_GB2312" w:cs="Times New Roman"/>
                <w:bCs/>
                <w:kern w:val="0"/>
                <w:sz w:val="24"/>
                <w:szCs w:val="24"/>
                <w:lang w:val="en-US" w:eastAsia="zh-CN"/>
              </w:rPr>
              <w:t>工作内容</w:t>
            </w:r>
            <w:r>
              <w:rPr>
                <w:rFonts w:hint="default" w:ascii="Times New Roman" w:hAnsi="Times New Roman" w:eastAsia="仿宋_GB2312" w:cs="Times New Roman"/>
                <w:bCs/>
                <w:kern w:val="0"/>
                <w:sz w:val="24"/>
                <w:szCs w:val="24"/>
              </w:rPr>
              <w:t>和方法，</w:t>
            </w:r>
            <w:r>
              <w:rPr>
                <w:rFonts w:hint="eastAsia" w:ascii="Times New Roman" w:hAnsi="Times New Roman" w:eastAsia="仿宋_GB2312" w:cs="Times New Roman"/>
                <w:bCs/>
                <w:kern w:val="0"/>
                <w:sz w:val="24"/>
                <w:szCs w:val="24"/>
                <w:lang w:val="en-US" w:eastAsia="zh-CN"/>
              </w:rPr>
              <w:t>内容</w:t>
            </w:r>
            <w:r>
              <w:rPr>
                <w:rFonts w:hint="default" w:ascii="Times New Roman" w:hAnsi="Times New Roman" w:eastAsia="仿宋_GB2312" w:cs="Times New Roman"/>
                <w:bCs/>
                <w:kern w:val="0"/>
                <w:sz w:val="24"/>
                <w:szCs w:val="24"/>
              </w:rPr>
              <w:t>是否明晰</w:t>
            </w:r>
            <w:r>
              <w:rPr>
                <w:rFonts w:hint="eastAsia" w:ascii="Times New Roman" w:hAnsi="Times New Roman" w:eastAsia="仿宋_GB2312" w:cs="Times New Roman"/>
                <w:bCs/>
                <w:kern w:val="0"/>
                <w:sz w:val="24"/>
                <w:szCs w:val="24"/>
                <w:lang w:val="en-US" w:eastAsia="zh-CN"/>
              </w:rPr>
              <w:t>完整：</w:t>
            </w:r>
          </w:p>
        </w:tc>
      </w:tr>
      <w:tr>
        <w:tblPrEx>
          <w:tblCellMar>
            <w:top w:w="0" w:type="dxa"/>
            <w:left w:w="108" w:type="dxa"/>
            <w:bottom w:w="0" w:type="dxa"/>
            <w:right w:w="108" w:type="dxa"/>
          </w:tblCellMar>
        </w:tblPrEx>
        <w:trPr>
          <w:trHeight w:val="1194" w:hRule="atLeast"/>
          <w:jc w:val="center"/>
        </w:trPr>
        <w:tc>
          <w:tcPr>
            <w:tcW w:w="921" w:type="dxa"/>
            <w:vMerge w:val="continue"/>
            <w:tcBorders>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p>
        </w:tc>
        <w:tc>
          <w:tcPr>
            <w:tcW w:w="1594" w:type="dxa"/>
            <w:vMerge w:val="continue"/>
            <w:tcBorders>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p>
        </w:tc>
        <w:tc>
          <w:tcPr>
            <w:tcW w:w="1125" w:type="dxa"/>
            <w:vMerge w:val="continue"/>
            <w:tcBorders>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p>
        </w:tc>
        <w:tc>
          <w:tcPr>
            <w:tcW w:w="10258" w:type="dxa"/>
            <w:tcBorders>
              <w:top w:val="nil"/>
              <w:left w:val="nil"/>
              <w:bottom w:val="single" w:color="auto" w:sz="4" w:space="0"/>
              <w:right w:val="single" w:color="auto" w:sz="4" w:space="0"/>
            </w:tcBorders>
            <w:vAlign w:val="center"/>
          </w:tcPr>
          <w:p>
            <w:pPr>
              <w:shd w:val="clear"/>
              <w:spacing w:line="300" w:lineRule="exact"/>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rPr>
              <w:t>在服务期内，</w:t>
            </w:r>
            <w:r>
              <w:rPr>
                <w:rFonts w:hint="eastAsia" w:ascii="华文仿宋" w:hAnsi="华文仿宋" w:eastAsia="华文仿宋" w:cs="华文仿宋"/>
                <w:sz w:val="24"/>
                <w:szCs w:val="24"/>
                <w:lang w:val="en-US" w:eastAsia="zh-CN"/>
              </w:rPr>
              <w:t>能够</w:t>
            </w:r>
            <w:r>
              <w:rPr>
                <w:rFonts w:hint="eastAsia" w:ascii="华文仿宋" w:hAnsi="华文仿宋" w:eastAsia="华文仿宋" w:cs="华文仿宋"/>
                <w:sz w:val="24"/>
                <w:szCs w:val="24"/>
              </w:rPr>
              <w:t>24小时自动监测网络舆情，每天通过邮件、短信、微信、QQ或其他形式及时报送预警信息。要求预警信息及时、准确。</w:t>
            </w:r>
            <w:r>
              <w:rPr>
                <w:rFonts w:hint="default" w:ascii="Times New Roman" w:hAnsi="Times New Roman" w:eastAsia="仿宋_GB2312" w:cs="Times New Roman"/>
                <w:bCs/>
                <w:kern w:val="0"/>
                <w:sz w:val="24"/>
                <w:szCs w:val="24"/>
              </w:rPr>
              <w:t>评价为优得11-15分，良得6-10分，一般得1-5分，</w:t>
            </w:r>
            <w:r>
              <w:rPr>
                <w:rFonts w:hint="eastAsia" w:ascii="华文仿宋" w:hAnsi="华文仿宋" w:eastAsia="华文仿宋" w:cs="华文仿宋"/>
                <w:sz w:val="24"/>
                <w:szCs w:val="24"/>
              </w:rPr>
              <w:t>根据响应情况，评委酌情打分</w:t>
            </w:r>
            <w:r>
              <w:rPr>
                <w:rFonts w:hint="eastAsia" w:ascii="华文仿宋" w:hAnsi="华文仿宋" w:eastAsia="华文仿宋" w:cs="华文仿宋"/>
                <w:sz w:val="24"/>
                <w:szCs w:val="24"/>
                <w:lang w:eastAsia="zh-CN"/>
              </w:rPr>
              <w:t>，</w:t>
            </w:r>
            <w:r>
              <w:rPr>
                <w:rFonts w:hint="default" w:ascii="Times New Roman" w:hAnsi="Times New Roman" w:eastAsia="仿宋_GB2312" w:cs="Times New Roman"/>
                <w:bCs/>
                <w:kern w:val="0"/>
                <w:sz w:val="24"/>
                <w:szCs w:val="24"/>
              </w:rPr>
              <w:t>本项满分15分。</w:t>
            </w:r>
          </w:p>
        </w:tc>
      </w:tr>
      <w:tr>
        <w:tblPrEx>
          <w:tblCellMar>
            <w:top w:w="0" w:type="dxa"/>
            <w:left w:w="108" w:type="dxa"/>
            <w:bottom w:w="0" w:type="dxa"/>
            <w:right w:w="108" w:type="dxa"/>
          </w:tblCellMar>
        </w:tblPrEx>
        <w:trPr>
          <w:trHeight w:val="90" w:hRule="atLeast"/>
          <w:jc w:val="center"/>
        </w:trPr>
        <w:tc>
          <w:tcPr>
            <w:tcW w:w="921"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594"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125"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0258" w:type="dxa"/>
            <w:tcBorders>
              <w:top w:val="nil"/>
              <w:left w:val="nil"/>
              <w:bottom w:val="single" w:color="auto" w:sz="4" w:space="0"/>
              <w:right w:val="single" w:color="auto" w:sz="4" w:space="0"/>
            </w:tcBorders>
            <w:vAlign w:val="center"/>
          </w:tcPr>
          <w:p>
            <w:pPr>
              <w:spacing w:line="276"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遇到重大舆情时，根据医院需求，能够及时提供较为专业的舆情报告、舆情态势预测和处置建议。</w:t>
            </w:r>
            <w:r>
              <w:rPr>
                <w:rFonts w:hint="default" w:ascii="Times New Roman" w:hAnsi="Times New Roman" w:eastAsia="仿宋_GB2312" w:cs="Times New Roman"/>
                <w:bCs/>
                <w:kern w:val="0"/>
                <w:sz w:val="24"/>
                <w:szCs w:val="24"/>
              </w:rPr>
              <w:t>评价为优得11-15分，良得6-10分，一般得1-5分，</w:t>
            </w:r>
            <w:r>
              <w:rPr>
                <w:rFonts w:hint="eastAsia" w:ascii="华文仿宋" w:hAnsi="华文仿宋" w:eastAsia="华文仿宋" w:cs="华文仿宋"/>
                <w:sz w:val="24"/>
                <w:szCs w:val="24"/>
              </w:rPr>
              <w:t>根据响应情况，评委酌情打分</w:t>
            </w:r>
            <w:r>
              <w:rPr>
                <w:rFonts w:hint="eastAsia" w:ascii="华文仿宋" w:hAnsi="华文仿宋" w:eastAsia="华文仿宋" w:cs="华文仿宋"/>
                <w:sz w:val="24"/>
                <w:szCs w:val="24"/>
                <w:lang w:eastAsia="zh-CN"/>
              </w:rPr>
              <w:t>，</w:t>
            </w:r>
            <w:r>
              <w:rPr>
                <w:rFonts w:hint="default" w:ascii="Times New Roman" w:hAnsi="Times New Roman" w:eastAsia="仿宋_GB2312" w:cs="Times New Roman"/>
                <w:bCs/>
                <w:kern w:val="0"/>
                <w:sz w:val="24"/>
                <w:szCs w:val="24"/>
              </w:rPr>
              <w:t>本项满分15分。</w:t>
            </w:r>
          </w:p>
        </w:tc>
      </w:tr>
      <w:tr>
        <w:tblPrEx>
          <w:tblCellMar>
            <w:top w:w="0" w:type="dxa"/>
            <w:left w:w="108" w:type="dxa"/>
            <w:bottom w:w="0" w:type="dxa"/>
            <w:right w:w="108" w:type="dxa"/>
          </w:tblCellMar>
        </w:tblPrEx>
        <w:trPr>
          <w:trHeight w:val="1456" w:hRule="atLeast"/>
          <w:jc w:val="center"/>
        </w:trPr>
        <w:tc>
          <w:tcPr>
            <w:tcW w:w="921"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594"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125" w:type="dxa"/>
            <w:vMerge w:val="continue"/>
            <w:tcBorders>
              <w:left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0258" w:type="dxa"/>
            <w:tcBorders>
              <w:top w:val="nil"/>
              <w:left w:val="nil"/>
              <w:bottom w:val="single" w:color="auto" w:sz="4" w:space="0"/>
              <w:right w:val="single" w:color="auto" w:sz="4" w:space="0"/>
            </w:tcBorders>
            <w:vAlign w:val="center"/>
          </w:tcPr>
          <w:p>
            <w:pPr>
              <w:spacing w:line="276" w:lineRule="auto"/>
              <w:jc w:val="left"/>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定期</w:t>
            </w:r>
            <w:r>
              <w:rPr>
                <w:rFonts w:hint="eastAsia" w:ascii="华文仿宋" w:hAnsi="华文仿宋" w:eastAsia="华文仿宋" w:cs="华文仿宋"/>
                <w:sz w:val="24"/>
                <w:szCs w:val="24"/>
                <w:lang w:val="en-US" w:eastAsia="zh-CN"/>
              </w:rPr>
              <w:t>或不定期</w:t>
            </w:r>
            <w:r>
              <w:rPr>
                <w:rFonts w:hint="eastAsia" w:ascii="华文仿宋" w:hAnsi="华文仿宋" w:eastAsia="华文仿宋" w:cs="华文仿宋"/>
                <w:sz w:val="24"/>
                <w:szCs w:val="24"/>
              </w:rPr>
              <w:t>通过多种形式提供专业舆情日报、月报、周报、季报、半年报、年报等</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可对医院网评员开展专业技术培训或实战演练等</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lang w:val="en-US" w:eastAsia="zh-CN"/>
              </w:rPr>
              <w:t>年不少于2次。</w:t>
            </w:r>
            <w:r>
              <w:rPr>
                <w:rFonts w:hint="default" w:ascii="Times New Roman" w:hAnsi="Times New Roman" w:eastAsia="仿宋_GB2312" w:cs="Times New Roman"/>
                <w:bCs/>
                <w:kern w:val="0"/>
                <w:sz w:val="24"/>
                <w:szCs w:val="24"/>
              </w:rPr>
              <w:t>评价为优得11-15分，良得6-10分，一般得1-5分，</w:t>
            </w:r>
            <w:r>
              <w:rPr>
                <w:rFonts w:hint="eastAsia" w:ascii="华文仿宋" w:hAnsi="华文仿宋" w:eastAsia="华文仿宋" w:cs="华文仿宋"/>
                <w:sz w:val="24"/>
                <w:szCs w:val="24"/>
              </w:rPr>
              <w:t>根据响应情况，评委酌情打分</w:t>
            </w:r>
            <w:r>
              <w:rPr>
                <w:rFonts w:hint="eastAsia" w:ascii="华文仿宋" w:hAnsi="华文仿宋" w:eastAsia="华文仿宋" w:cs="华文仿宋"/>
                <w:sz w:val="24"/>
                <w:szCs w:val="24"/>
                <w:lang w:eastAsia="zh-CN"/>
              </w:rPr>
              <w:t>，</w:t>
            </w:r>
            <w:r>
              <w:rPr>
                <w:rFonts w:hint="default" w:ascii="Times New Roman" w:hAnsi="Times New Roman" w:eastAsia="仿宋_GB2312" w:cs="Times New Roman"/>
                <w:bCs/>
                <w:kern w:val="0"/>
                <w:sz w:val="24"/>
                <w:szCs w:val="24"/>
              </w:rPr>
              <w:t>本项满分15分。</w:t>
            </w:r>
          </w:p>
        </w:tc>
      </w:tr>
      <w:tr>
        <w:tblPrEx>
          <w:tblCellMar>
            <w:top w:w="0" w:type="dxa"/>
            <w:left w:w="108" w:type="dxa"/>
            <w:bottom w:w="0" w:type="dxa"/>
            <w:right w:w="108" w:type="dxa"/>
          </w:tblCellMar>
        </w:tblPrEx>
        <w:trPr>
          <w:trHeight w:val="1086" w:hRule="atLeast"/>
          <w:jc w:val="center"/>
        </w:trPr>
        <w:tc>
          <w:tcPr>
            <w:tcW w:w="921"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3</w:t>
            </w:r>
          </w:p>
          <w:p>
            <w:pPr>
              <w:spacing w:line="276" w:lineRule="auto"/>
              <w:jc w:val="center"/>
              <w:rPr>
                <w:rFonts w:hint="eastAsia" w:ascii="华文仿宋" w:hAnsi="华文仿宋" w:eastAsia="华文仿宋" w:cs="华文仿宋"/>
                <w:sz w:val="24"/>
                <w:szCs w:val="24"/>
                <w:lang w:val="en-US" w:eastAsia="zh-CN"/>
              </w:rPr>
            </w:pPr>
          </w:p>
        </w:tc>
        <w:tc>
          <w:tcPr>
            <w:tcW w:w="159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舆情管理</w:t>
            </w:r>
          </w:p>
          <w:p>
            <w:pPr>
              <w:spacing w:line="276" w:lineRule="auto"/>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25%</w:t>
            </w:r>
          </w:p>
          <w:p>
            <w:pPr>
              <w:spacing w:line="276" w:lineRule="auto"/>
              <w:jc w:val="center"/>
              <w:rPr>
                <w:rFonts w:hint="default" w:ascii="华文仿宋" w:hAnsi="华文仿宋" w:eastAsia="华文仿宋" w:cs="华文仿宋"/>
                <w:sz w:val="24"/>
                <w:szCs w:val="24"/>
                <w:lang w:val="en-US" w:eastAsia="zh-CN"/>
              </w:rPr>
            </w:pPr>
          </w:p>
        </w:tc>
        <w:tc>
          <w:tcPr>
            <w:tcW w:w="1125" w:type="dxa"/>
            <w:vMerge w:val="restart"/>
            <w:tcBorders>
              <w:top w:val="single" w:color="auto" w:sz="4" w:space="0"/>
              <w:left w:val="single" w:color="auto" w:sz="4" w:space="0"/>
              <w:right w:val="single" w:color="auto" w:sz="4" w:space="0"/>
            </w:tcBorders>
            <w:vAlign w:val="center"/>
          </w:tcPr>
          <w:p>
            <w:pPr>
              <w:spacing w:line="276" w:lineRule="auto"/>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25分</w:t>
            </w:r>
          </w:p>
        </w:tc>
        <w:tc>
          <w:tcPr>
            <w:tcW w:w="10258"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监测范围：国内外全网监测，包括而不仅限于论坛、博客、新闻网、贴吧、微博、微信等。3分</w:t>
            </w:r>
          </w:p>
          <w:p>
            <w:pPr>
              <w:spacing w:line="276" w:lineRule="auto"/>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监测类型：文字、图片、语音、视频等。4分</w:t>
            </w:r>
          </w:p>
          <w:p>
            <w:pPr>
              <w:spacing w:line="276" w:lineRule="auto"/>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监测方式：提供标题、全文监测、来源监测、</w:t>
            </w:r>
            <w:r>
              <w:rPr>
                <w:rFonts w:hint="eastAsia" w:ascii="华文仿宋" w:hAnsi="华文仿宋" w:eastAsia="华文仿宋" w:cs="华文仿宋"/>
                <w:sz w:val="24"/>
                <w:szCs w:val="24"/>
                <w:lang w:val="en-US" w:eastAsia="zh-CN"/>
              </w:rPr>
              <w:t>作者</w:t>
            </w:r>
            <w:r>
              <w:rPr>
                <w:rFonts w:hint="eastAsia" w:ascii="华文仿宋" w:hAnsi="华文仿宋" w:eastAsia="华文仿宋" w:cs="华文仿宋"/>
                <w:sz w:val="24"/>
                <w:szCs w:val="24"/>
              </w:rPr>
              <w:t>监测、网站监测等等。3分</w:t>
            </w:r>
          </w:p>
        </w:tc>
      </w:tr>
      <w:tr>
        <w:tblPrEx>
          <w:tblCellMar>
            <w:top w:w="0" w:type="dxa"/>
            <w:left w:w="108" w:type="dxa"/>
            <w:bottom w:w="0" w:type="dxa"/>
            <w:right w:w="108" w:type="dxa"/>
          </w:tblCellMar>
        </w:tblPrEx>
        <w:trPr>
          <w:trHeight w:val="1542" w:hRule="atLeast"/>
          <w:jc w:val="center"/>
        </w:trPr>
        <w:tc>
          <w:tcPr>
            <w:tcW w:w="921"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lang w:val="en-US" w:eastAsia="zh-CN"/>
              </w:rPr>
            </w:pPr>
          </w:p>
        </w:tc>
        <w:tc>
          <w:tcPr>
            <w:tcW w:w="1594" w:type="dxa"/>
            <w:vMerge w:val="continue"/>
            <w:tcBorders>
              <w:left w:val="single" w:color="auto" w:sz="4" w:space="0"/>
              <w:bottom w:val="single" w:color="auto" w:sz="4" w:space="0"/>
              <w:right w:val="single" w:color="auto" w:sz="4" w:space="0"/>
            </w:tcBorders>
            <w:vAlign w:val="center"/>
          </w:tcPr>
          <w:p>
            <w:pPr>
              <w:spacing w:line="276" w:lineRule="auto"/>
              <w:jc w:val="left"/>
              <w:rPr>
                <w:rFonts w:hint="default" w:ascii="华文仿宋" w:hAnsi="华文仿宋" w:eastAsia="华文仿宋" w:cs="华文仿宋"/>
                <w:sz w:val="24"/>
                <w:szCs w:val="24"/>
                <w:lang w:val="en-US" w:eastAsia="zh-CN"/>
              </w:rPr>
            </w:pPr>
          </w:p>
        </w:tc>
        <w:tc>
          <w:tcPr>
            <w:tcW w:w="1125" w:type="dxa"/>
            <w:vMerge w:val="continue"/>
            <w:tcBorders>
              <w:left w:val="single" w:color="auto" w:sz="4" w:space="0"/>
              <w:bottom w:val="single" w:color="auto" w:sz="4" w:space="0"/>
              <w:right w:val="single" w:color="auto" w:sz="4" w:space="0"/>
            </w:tcBorders>
            <w:vAlign w:val="center"/>
          </w:tcPr>
          <w:p>
            <w:pPr>
              <w:spacing w:line="276" w:lineRule="auto"/>
              <w:jc w:val="left"/>
              <w:rPr>
                <w:rFonts w:hint="default" w:ascii="华文仿宋" w:hAnsi="华文仿宋" w:eastAsia="华文仿宋" w:cs="华文仿宋"/>
                <w:sz w:val="24"/>
                <w:szCs w:val="24"/>
                <w:lang w:val="en-US" w:eastAsia="zh-CN"/>
              </w:rPr>
            </w:pPr>
          </w:p>
        </w:tc>
        <w:tc>
          <w:tcPr>
            <w:tcW w:w="10258"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全网实时监测及行业动态相关数据，</w:t>
            </w:r>
            <w:r>
              <w:rPr>
                <w:rFonts w:hint="eastAsia" w:ascii="华文仿宋" w:hAnsi="华文仿宋" w:eastAsia="华文仿宋" w:cs="华文仿宋"/>
                <w:sz w:val="24"/>
                <w:szCs w:val="24"/>
                <w:lang w:val="en-US" w:eastAsia="zh-CN"/>
              </w:rPr>
              <w:t>有</w:t>
            </w:r>
            <w:r>
              <w:rPr>
                <w:rFonts w:hint="eastAsia" w:ascii="华文仿宋" w:hAnsi="华文仿宋" w:eastAsia="华文仿宋" w:cs="华文仿宋"/>
                <w:sz w:val="24"/>
                <w:szCs w:val="24"/>
              </w:rPr>
              <w:t>资深分析师团队对获取的海量数据进行多维度分析，深度挖掘数据背后的价值资源，通过全媒介的信息整合传播，提升</w:t>
            </w:r>
            <w:r>
              <w:rPr>
                <w:rFonts w:hint="eastAsia" w:ascii="华文仿宋" w:hAnsi="华文仿宋" w:eastAsia="华文仿宋" w:cs="华文仿宋"/>
                <w:sz w:val="24"/>
                <w:szCs w:val="24"/>
                <w:lang w:val="en-US" w:eastAsia="zh-CN"/>
              </w:rPr>
              <w:t>医院</w:t>
            </w:r>
            <w:r>
              <w:rPr>
                <w:rFonts w:hint="eastAsia" w:ascii="华文仿宋" w:hAnsi="华文仿宋" w:eastAsia="华文仿宋" w:cs="华文仿宋"/>
                <w:sz w:val="24"/>
                <w:szCs w:val="24"/>
              </w:rPr>
              <w:t>网络口碑美誉度。在负面口碑出现时，第一时间对其进行研判并提供专业的处置解决方案，实现舆情管理。</w:t>
            </w:r>
            <w:r>
              <w:rPr>
                <w:rFonts w:hint="default" w:ascii="华文仿宋" w:hAnsi="华文仿宋" w:eastAsia="华文仿宋" w:cs="华文仿宋"/>
                <w:sz w:val="24"/>
                <w:szCs w:val="24"/>
              </w:rPr>
              <w:t>评价为优得11-15分，良得6-10分，一般得1-5分，</w:t>
            </w:r>
            <w:r>
              <w:rPr>
                <w:rFonts w:hint="eastAsia" w:ascii="华文仿宋" w:hAnsi="华文仿宋" w:eastAsia="华文仿宋" w:cs="华文仿宋"/>
                <w:sz w:val="24"/>
                <w:szCs w:val="24"/>
              </w:rPr>
              <w:t>根据响应情况，评委酌情打分</w:t>
            </w:r>
            <w:r>
              <w:rPr>
                <w:rFonts w:hint="eastAsia" w:ascii="华文仿宋" w:hAnsi="华文仿宋" w:eastAsia="华文仿宋" w:cs="华文仿宋"/>
                <w:sz w:val="24"/>
                <w:szCs w:val="24"/>
                <w:lang w:eastAsia="zh-CN"/>
              </w:rPr>
              <w:t>，</w:t>
            </w:r>
            <w:r>
              <w:rPr>
                <w:rFonts w:hint="default" w:ascii="华文仿宋" w:hAnsi="华文仿宋" w:eastAsia="华文仿宋" w:cs="华文仿宋"/>
                <w:sz w:val="24"/>
                <w:szCs w:val="24"/>
              </w:rPr>
              <w:t>本项满分15分。</w:t>
            </w:r>
          </w:p>
        </w:tc>
      </w:tr>
      <w:tr>
        <w:tblPrEx>
          <w:tblCellMar>
            <w:top w:w="0" w:type="dxa"/>
            <w:left w:w="108" w:type="dxa"/>
            <w:bottom w:w="0" w:type="dxa"/>
            <w:right w:w="108" w:type="dxa"/>
          </w:tblCellMar>
        </w:tblPrEx>
        <w:trPr>
          <w:trHeight w:val="920" w:hRule="atLeast"/>
          <w:jc w:val="center"/>
        </w:trPr>
        <w:tc>
          <w:tcPr>
            <w:tcW w:w="921"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4</w:t>
            </w:r>
          </w:p>
        </w:tc>
        <w:tc>
          <w:tcPr>
            <w:tcW w:w="1594"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资信评价</w:t>
            </w:r>
          </w:p>
          <w:p>
            <w:pPr>
              <w:spacing w:line="276" w:lineRule="auto"/>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10%</w:t>
            </w:r>
          </w:p>
        </w:tc>
        <w:tc>
          <w:tcPr>
            <w:tcW w:w="1125" w:type="dxa"/>
            <w:vMerge w:val="restart"/>
            <w:tcBorders>
              <w:top w:val="single" w:color="auto" w:sz="4" w:space="0"/>
              <w:left w:val="nil"/>
              <w:right w:val="single" w:color="auto" w:sz="4" w:space="0"/>
            </w:tcBorders>
            <w:vAlign w:val="center"/>
          </w:tcPr>
          <w:p>
            <w:pPr>
              <w:spacing w:line="276"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10分</w:t>
            </w:r>
          </w:p>
        </w:tc>
        <w:tc>
          <w:tcPr>
            <w:tcW w:w="10258" w:type="dxa"/>
            <w:tcBorders>
              <w:top w:val="single" w:color="auto" w:sz="4" w:space="0"/>
              <w:left w:val="nil"/>
              <w:bottom w:val="single" w:color="auto" w:sz="4" w:space="0"/>
              <w:right w:val="single" w:color="auto" w:sz="4" w:space="0"/>
            </w:tcBorders>
            <w:vAlign w:val="center"/>
          </w:tcPr>
          <w:p>
            <w:pPr>
              <w:spacing w:line="276"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rPr>
              <w:t>能够配备网络舆情分析师或同类资格认证的，提供证明初级资格得2分，中级资格得4分，高级资格得6分，没有不得分。</w:t>
            </w:r>
          </w:p>
        </w:tc>
      </w:tr>
      <w:tr>
        <w:tblPrEx>
          <w:tblCellMar>
            <w:top w:w="0" w:type="dxa"/>
            <w:left w:w="108" w:type="dxa"/>
            <w:bottom w:w="0" w:type="dxa"/>
            <w:right w:w="108" w:type="dxa"/>
          </w:tblCellMar>
        </w:tblPrEx>
        <w:trPr>
          <w:trHeight w:val="792" w:hRule="atLeast"/>
          <w:jc w:val="center"/>
        </w:trPr>
        <w:tc>
          <w:tcPr>
            <w:tcW w:w="921" w:type="dxa"/>
            <w:vMerge w:val="continue"/>
            <w:tcBorders>
              <w:left w:val="single" w:color="auto" w:sz="4" w:space="0"/>
              <w:bottom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594" w:type="dxa"/>
            <w:vMerge w:val="continue"/>
            <w:tcBorders>
              <w:left w:val="single" w:color="auto" w:sz="4" w:space="0"/>
              <w:bottom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125" w:type="dxa"/>
            <w:vMerge w:val="continue"/>
            <w:tcBorders>
              <w:left w:val="nil"/>
              <w:bottom w:val="single" w:color="auto" w:sz="4" w:space="0"/>
              <w:right w:val="single" w:color="auto" w:sz="4" w:space="0"/>
            </w:tcBorders>
            <w:vAlign w:val="center"/>
          </w:tcPr>
          <w:p>
            <w:pPr>
              <w:spacing w:line="276" w:lineRule="auto"/>
              <w:jc w:val="center"/>
              <w:rPr>
                <w:rFonts w:ascii="华文仿宋" w:hAnsi="华文仿宋" w:eastAsia="华文仿宋" w:cs="华文仿宋"/>
                <w:sz w:val="24"/>
                <w:szCs w:val="24"/>
              </w:rPr>
            </w:pPr>
          </w:p>
        </w:tc>
        <w:tc>
          <w:tcPr>
            <w:tcW w:w="10258" w:type="dxa"/>
            <w:tcBorders>
              <w:top w:val="single" w:color="auto" w:sz="4" w:space="0"/>
              <w:left w:val="nil"/>
              <w:bottom w:val="single" w:color="auto" w:sz="4" w:space="0"/>
              <w:right w:val="single" w:color="auto" w:sz="4" w:space="0"/>
            </w:tcBorders>
            <w:vAlign w:val="center"/>
          </w:tcPr>
          <w:p>
            <w:pPr>
              <w:spacing w:line="276"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rPr>
              <w:t>通过常见标准信息安全管理体系认证的，得4分。</w:t>
            </w:r>
          </w:p>
        </w:tc>
      </w:tr>
    </w:tbl>
    <w:p>
      <w:pPr>
        <w:spacing w:line="360" w:lineRule="auto"/>
        <w:jc w:val="left"/>
        <w:rPr>
          <w:rFonts w:ascii="仿宋" w:hAnsi="仿宋" w:eastAsia="仿宋" w:cs="Arial"/>
          <w:color w:val="000000"/>
          <w:sz w:val="32"/>
          <w:szCs w:val="32"/>
        </w:rPr>
      </w:pPr>
    </w:p>
    <w:p>
      <w:pPr>
        <w:spacing w:line="360" w:lineRule="auto"/>
        <w:jc w:val="left"/>
        <w:rPr>
          <w:rFonts w:ascii="仿宋" w:hAnsi="仿宋" w:eastAsia="仿宋" w:cs="Arial"/>
          <w:color w:val="000000"/>
          <w:sz w:val="32"/>
          <w:szCs w:val="32"/>
        </w:rPr>
      </w:pPr>
    </w:p>
    <w:p>
      <w:pPr>
        <w:spacing w:line="360" w:lineRule="auto"/>
        <w:jc w:val="left"/>
        <w:rPr>
          <w:rFonts w:ascii="仿宋" w:hAnsi="仿宋" w:eastAsia="仿宋" w:cs="Arial"/>
          <w:color w:val="000000"/>
          <w:sz w:val="32"/>
          <w:szCs w:val="32"/>
        </w:rPr>
      </w:pPr>
    </w:p>
    <w:p>
      <w:pPr>
        <w:spacing w:line="360" w:lineRule="auto"/>
        <w:jc w:val="left"/>
        <w:rPr>
          <w:rFonts w:ascii="仿宋" w:hAnsi="仿宋" w:eastAsia="仿宋" w:cs="Arial"/>
          <w:color w:val="000000"/>
          <w:sz w:val="32"/>
          <w:szCs w:val="32"/>
        </w:rPr>
      </w:pPr>
    </w:p>
    <w:p>
      <w:pPr>
        <w:spacing w:line="360" w:lineRule="auto"/>
        <w:jc w:val="left"/>
        <w:rPr>
          <w:rFonts w:ascii="仿宋" w:hAnsi="仿宋" w:eastAsia="仿宋" w:cs="Arial"/>
          <w:color w:val="000000"/>
          <w:sz w:val="32"/>
          <w:szCs w:val="32"/>
        </w:rPr>
      </w:pPr>
    </w:p>
    <w:p>
      <w:pPr>
        <w:spacing w:line="360" w:lineRule="auto"/>
        <w:jc w:val="left"/>
        <w:rPr>
          <w:rFonts w:ascii="仿宋" w:hAnsi="仿宋" w:eastAsia="仿宋" w:cs="Arial"/>
          <w:color w:val="000000"/>
          <w:sz w:val="32"/>
          <w:szCs w:val="32"/>
        </w:rPr>
      </w:pPr>
    </w:p>
    <w:p>
      <w:pPr>
        <w:widowControl/>
        <w:shd w:val="clear" w:color="auto"/>
        <w:spacing w:line="400" w:lineRule="atLeast"/>
        <w:jc w:val="left"/>
        <w:rPr>
          <w:rFonts w:hint="default" w:ascii="Times New Roman" w:hAnsi="Times New Roman" w:eastAsia="黑体" w:cs="Times New Roman"/>
          <w:kern w:val="0"/>
          <w:sz w:val="32"/>
          <w:szCs w:val="32"/>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widowControl/>
        <w:shd w:val="clear" w:color="auto"/>
        <w:spacing w:line="400" w:lineRule="atLeast"/>
        <w:jc w:val="lef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采购文件书装订顺序</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bookmarkStart w:id="5" w:name="_GoBack"/>
      <w:bookmarkEnd w:id="5"/>
      <w:r>
        <w:rPr>
          <w:rFonts w:hint="default" w:ascii="Times New Roman" w:hAnsi="Times New Roman" w:eastAsia="仿宋_GB2312" w:cs="Times New Roman"/>
          <w:bCs/>
          <w:spacing w:val="8"/>
          <w:sz w:val="30"/>
          <w:szCs w:val="30"/>
        </w:rPr>
        <w:t>1.封面（公司、项目、联系人、联系方式）</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2.目录</w:t>
      </w:r>
    </w:p>
    <w:p>
      <w:pPr>
        <w:keepNext w:val="0"/>
        <w:keepLines w:val="0"/>
        <w:pageBreakBefore w:val="0"/>
        <w:widowControl w:val="0"/>
        <w:shd w:val="clear"/>
        <w:tabs>
          <w:tab w:val="left" w:pos="0"/>
        </w:tabs>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3.报价</w:t>
      </w:r>
      <w:r>
        <w:rPr>
          <w:rFonts w:hint="eastAsia" w:ascii="Times New Roman" w:hAnsi="Times New Roman" w:eastAsia="仿宋_GB2312" w:cs="Times New Roman"/>
          <w:bCs/>
          <w:spacing w:val="8"/>
          <w:sz w:val="30"/>
          <w:szCs w:val="30"/>
          <w:lang w:eastAsia="zh-CN"/>
        </w:rPr>
        <w:t>一览</w:t>
      </w:r>
      <w:r>
        <w:rPr>
          <w:rFonts w:hint="default" w:ascii="Times New Roman" w:hAnsi="Times New Roman" w:eastAsia="仿宋_GB2312" w:cs="Times New Roman"/>
          <w:bCs/>
          <w:spacing w:val="8"/>
          <w:sz w:val="30"/>
          <w:szCs w:val="30"/>
        </w:rPr>
        <w:t>表（</w:t>
      </w:r>
      <w:r>
        <w:rPr>
          <w:rFonts w:hint="eastAsia" w:ascii="Times New Roman" w:hAnsi="Times New Roman" w:eastAsia="仿宋_GB2312" w:cs="Times New Roman"/>
          <w:bCs/>
          <w:spacing w:val="8"/>
          <w:sz w:val="30"/>
          <w:szCs w:val="30"/>
          <w:lang w:eastAsia="zh-CN"/>
        </w:rPr>
        <w:t>每个项目单独报价，</w:t>
      </w:r>
      <w:r>
        <w:rPr>
          <w:rFonts w:hint="default" w:ascii="Times New Roman" w:hAnsi="Times New Roman" w:eastAsia="仿宋_GB2312" w:cs="Times New Roman"/>
          <w:bCs/>
          <w:spacing w:val="8"/>
          <w:sz w:val="30"/>
          <w:szCs w:val="30"/>
        </w:rPr>
        <w:t>格式见附件</w:t>
      </w:r>
      <w:r>
        <w:rPr>
          <w:rFonts w:hint="eastAsia"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4.偏离表（格式见附件</w:t>
      </w:r>
      <w:r>
        <w:rPr>
          <w:rFonts w:hint="eastAsia"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5.有效的营业执照、税务登记证、组织机构代码证或三证合一营业执照（有效年检期内，副本）</w:t>
      </w:r>
    </w:p>
    <w:p>
      <w:pPr>
        <w:keepNext w:val="0"/>
        <w:keepLines w:val="0"/>
        <w:pageBreakBefore w:val="0"/>
        <w:widowControl w:val="0"/>
        <w:shd w:val="clear" w:color="auto"/>
        <w:kinsoku/>
        <w:wordWrap/>
        <w:overflowPunct/>
        <w:topLinePunct w:val="0"/>
        <w:autoSpaceDE/>
        <w:autoSpaceDN/>
        <w:bidi w:val="0"/>
        <w:adjustRightInd/>
        <w:snapToGrid/>
        <w:spacing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6.法定代表人授权书（原件，格式见附件</w:t>
      </w:r>
      <w:r>
        <w:rPr>
          <w:rFonts w:hint="eastAsia"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），法定代表人身份证复印件和被授权人的身份证原件及复印件</w:t>
      </w:r>
    </w:p>
    <w:p>
      <w:pPr>
        <w:keepNext w:val="0"/>
        <w:keepLines w:val="0"/>
        <w:pageBreakBefore w:val="0"/>
        <w:widowControl w:val="0"/>
        <w:shd w:val="clear" w:color="auto"/>
        <w:kinsoku/>
        <w:wordWrap/>
        <w:overflowPunct/>
        <w:topLinePunct w:val="0"/>
        <w:autoSpaceDE/>
        <w:autoSpaceDN/>
        <w:bidi w:val="0"/>
        <w:adjustRightInd/>
        <w:snapToGrid/>
        <w:spacing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7.若供应商采用分公司（或分所）名义参加项目磋商的，须提供总公司（或总所）出具的有效授权文件复印件（格式自拟）</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8.如有企业管理体系认证（考核），请提供有效证明文件的复印或扫描件，质量管理体系认证包括FDA、CE、ISO等认证（提供中文翻译复印件）</w:t>
      </w:r>
    </w:p>
    <w:p>
      <w:pPr>
        <w:keepNext w:val="0"/>
        <w:keepLines w:val="0"/>
        <w:pageBreakBefore w:val="0"/>
        <w:widowControl w:val="0"/>
        <w:shd w:val="clear"/>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9</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lang w:val="en" w:eastAsia="zh-CN"/>
        </w:rPr>
        <w:t>服务</w:t>
      </w:r>
      <w:r>
        <w:rPr>
          <w:rFonts w:hint="default" w:ascii="Times New Roman" w:hAnsi="Times New Roman" w:eastAsia="仿宋_GB2312" w:cs="Times New Roman"/>
          <w:bCs/>
          <w:spacing w:val="8"/>
          <w:sz w:val="30"/>
          <w:szCs w:val="30"/>
          <w:lang w:val="en"/>
        </w:rPr>
        <w:t>方案</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lang w:val="en" w:eastAsia="zh-CN"/>
        </w:rPr>
      </w:pP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lang w:val="en"/>
        </w:rPr>
        <w:t>0.</w:t>
      </w:r>
      <w:r>
        <w:rPr>
          <w:rFonts w:hint="eastAsia" w:ascii="Times New Roman" w:hAnsi="Times New Roman" w:eastAsia="仿宋_GB2312" w:cs="Times New Roman"/>
          <w:bCs/>
          <w:spacing w:val="8"/>
          <w:sz w:val="30"/>
          <w:szCs w:val="30"/>
          <w:lang w:val="en" w:eastAsia="zh-CN"/>
        </w:rPr>
        <w:t>提供近三年</w:t>
      </w:r>
      <w:r>
        <w:rPr>
          <w:rFonts w:hint="default" w:ascii="Times New Roman" w:hAnsi="Times New Roman" w:eastAsia="仿宋_GB2312" w:cs="Times New Roman"/>
          <w:bCs/>
          <w:spacing w:val="8"/>
          <w:sz w:val="30"/>
          <w:szCs w:val="30"/>
          <w:lang w:val="en"/>
        </w:rPr>
        <w:t>类似项目业绩</w:t>
      </w:r>
      <w:r>
        <w:rPr>
          <w:rFonts w:hint="default" w:ascii="Times New Roman" w:hAnsi="Times New Roman" w:eastAsia="仿宋_GB2312" w:cs="Times New Roman"/>
          <w:bCs/>
          <w:spacing w:val="8"/>
          <w:sz w:val="30"/>
          <w:szCs w:val="30"/>
          <w:lang w:val="en" w:eastAsia="zh-CN"/>
        </w:rPr>
        <w:t>一览表（</w:t>
      </w:r>
      <w:r>
        <w:rPr>
          <w:rFonts w:hint="default" w:ascii="Times New Roman" w:hAnsi="Times New Roman" w:eastAsia="仿宋_GB2312" w:cs="Times New Roman"/>
          <w:bCs/>
          <w:spacing w:val="8"/>
          <w:sz w:val="30"/>
          <w:szCs w:val="30"/>
        </w:rPr>
        <w:t>格式见附件</w:t>
      </w: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11.项目组成员配备情况表</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12.获得的荣誉奖项证明材料</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13.供应商符合《政府采购法》第二十二条规定条件的承诺书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7</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14.反商业贿赂承诺书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8</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15.无围标、串标行为承诺书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9</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16.</w:t>
      </w:r>
      <w:r>
        <w:rPr>
          <w:rFonts w:hint="eastAsia" w:ascii="仿宋" w:hAnsi="仿宋" w:eastAsia="仿宋" w:cs="仿宋"/>
          <w:color w:val="000000"/>
          <w:kern w:val="0"/>
          <w:sz w:val="32"/>
          <w:szCs w:val="32"/>
          <w:shd w:val="clear" w:color="auto" w:fill="FFFFFF"/>
          <w:lang w:val="en-US" w:eastAsia="zh-CN" w:bidi="ar-SA"/>
        </w:rPr>
        <w:t>供应商遵守招标采购纪律承诺书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10</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default" w:ascii="Times New Roman" w:hAnsi="Times New Roman" w:eastAsia="楷体_GB2312" w:cs="Times New Roman"/>
          <w:b/>
          <w:bCs/>
          <w:sz w:val="28"/>
          <w:szCs w:val="28"/>
        </w:rPr>
      </w:pPr>
      <w:r>
        <w:rPr>
          <w:rFonts w:hint="eastAsia" w:ascii="Times New Roman" w:hAnsi="Times New Roman" w:eastAsia="仿宋_GB2312" w:cs="Times New Roman"/>
          <w:bCs/>
          <w:spacing w:val="8"/>
          <w:sz w:val="30"/>
          <w:szCs w:val="30"/>
          <w:lang w:val="en-US" w:eastAsia="zh-CN"/>
        </w:rPr>
        <w:t>17.</w:t>
      </w:r>
      <w:r>
        <w:rPr>
          <w:rFonts w:hint="default" w:ascii="Times New Roman" w:hAnsi="Times New Roman" w:eastAsia="仿宋_GB2312" w:cs="Times New Roman"/>
          <w:bCs/>
          <w:spacing w:val="8"/>
          <w:sz w:val="30"/>
          <w:szCs w:val="30"/>
        </w:rPr>
        <w:t>封底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注：请务必按以上顺序装订资料，如有非中文资料，请同时提供中文翻译件。</w:t>
      </w:r>
    </w:p>
    <w:p>
      <w:pPr>
        <w:rPr>
          <w:rFonts w:hint="eastAsia" w:ascii="Times New Roman" w:hAnsi="Times New Roman" w:eastAsia="黑体" w:cs="Times New Roman"/>
          <w:b/>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w:t>
      </w:r>
      <w:r>
        <w:rPr>
          <w:rFonts w:hint="eastAsia" w:ascii="方正小标宋简体" w:hAnsi="方正小标宋简体" w:eastAsia="方正小标宋简体" w:cs="方正小标宋简体"/>
          <w:bCs/>
          <w:sz w:val="44"/>
          <w:szCs w:val="44"/>
          <w:lang w:eastAsia="zh-CN"/>
        </w:rPr>
        <w:t>一览</w:t>
      </w:r>
      <w:r>
        <w:rPr>
          <w:rFonts w:hint="eastAsia" w:ascii="方正小标宋简体" w:hAnsi="方正小标宋简体" w:eastAsia="方正小标宋简体" w:cs="方正小标宋简体"/>
          <w:bCs/>
          <w:sz w:val="44"/>
          <w:szCs w:val="44"/>
        </w:rPr>
        <w:t>表</w:t>
      </w:r>
    </w:p>
    <w:tbl>
      <w:tblPr>
        <w:tblStyle w:val="10"/>
        <w:tblpPr w:leftFromText="180" w:rightFromText="180" w:vertAnchor="text" w:horzAnchor="page" w:tblpXSpec="center" w:tblpY="545"/>
        <w:tblOverlap w:val="never"/>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8"/>
        <w:gridCol w:w="2125"/>
        <w:gridCol w:w="1798"/>
        <w:gridCol w:w="1625"/>
      </w:tblGrid>
      <w:tr>
        <w:tblPrEx>
          <w:tblCellMar>
            <w:top w:w="0" w:type="dxa"/>
            <w:left w:w="108" w:type="dxa"/>
            <w:bottom w:w="0" w:type="dxa"/>
            <w:right w:w="108" w:type="dxa"/>
          </w:tblCellMar>
        </w:tblPrEx>
        <w:trPr>
          <w:trHeight w:val="875"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服务内容</w:t>
            </w: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服务时间</w:t>
            </w: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单价（万元）</w:t>
            </w: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6</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89" w:type="dxa"/>
            <w:gridSpan w:val="5"/>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left"/>
              <w:rPr>
                <w:rFonts w:hint="default" w:ascii="Times New Roman" w:hAnsi="Times New Roman" w:eastAsia="仿宋_GB2312" w:cs="Times New Roman"/>
                <w:sz w:val="24"/>
                <w:u w:val="single"/>
                <w:lang w:val="en-US" w:eastAsia="zh-CN"/>
              </w:rPr>
            </w:pPr>
            <w:r>
              <w:rPr>
                <w:rFonts w:hint="eastAsia" w:ascii="Times New Roman" w:hAnsi="Times New Roman" w:eastAsia="仿宋_GB2312" w:cs="Times New Roman"/>
                <w:sz w:val="32"/>
                <w:szCs w:val="32"/>
              </w:rPr>
              <w:t>合计金额：</w:t>
            </w:r>
            <w:r>
              <w:rPr>
                <w:rFonts w:hint="eastAsia" w:ascii="Times New Roman" w:hAnsi="Times New Roman" w:eastAsia="仿宋_GB2312" w:cs="Times New Roman"/>
                <w:sz w:val="32"/>
                <w:szCs w:val="32"/>
                <w:u w:val="single"/>
                <w:lang w:val="en-US" w:eastAsia="zh-CN"/>
              </w:rPr>
              <w:t xml:space="preserve">    万元  </w:t>
            </w:r>
            <w:r>
              <w:rPr>
                <w:rFonts w:hint="eastAsia" w:ascii="Times New Roman" w:hAnsi="Times New Roman" w:eastAsia="仿宋_GB2312" w:cs="Times New Roman"/>
                <w:sz w:val="32"/>
                <w:szCs w:val="32"/>
              </w:rPr>
              <w:t>（大写）</w:t>
            </w:r>
            <w:r>
              <w:rPr>
                <w:rFonts w:hint="eastAsia" w:ascii="Times New Roman" w:hAnsi="Times New Roman" w:eastAsia="仿宋_GB2312" w:cs="Times New Roman"/>
                <w:sz w:val="32"/>
                <w:szCs w:val="32"/>
                <w:u w:val="single"/>
                <w:lang w:val="en-US" w:eastAsia="zh-CN"/>
              </w:rPr>
              <w:t xml:space="preserve">                 </w:t>
            </w:r>
          </w:p>
        </w:tc>
      </w:tr>
    </w:tbl>
    <w:p>
      <w:pPr>
        <w:jc w:val="both"/>
        <w:rPr>
          <w:rFonts w:hint="default" w:ascii="Times New Roman" w:hAnsi="Times New Roman" w:cs="Times New Roman"/>
          <w:sz w:val="28"/>
          <w:szCs w:val="28"/>
        </w:rPr>
      </w:pPr>
    </w:p>
    <w:p>
      <w:pPr>
        <w:widowControl/>
        <w:wordWrap w:val="0"/>
        <w:spacing w:line="360" w:lineRule="auto"/>
        <w:jc w:val="left"/>
        <w:rPr>
          <w:rFonts w:hint="default" w:ascii="Times New Roman" w:hAnsi="Times New Roman" w:eastAsia="仿宋_GB2312" w:cs="Times New Roman"/>
          <w:kern w:val="0"/>
          <w:sz w:val="28"/>
          <w:szCs w:val="28"/>
        </w:rPr>
      </w:pP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黑体" w:cs="Times New Roman"/>
          <w:sz w:val="32"/>
          <w:szCs w:val="32"/>
        </w:rPr>
      </w:pPr>
      <w:r>
        <w:rPr>
          <w:rFonts w:hint="default" w:ascii="Times New Roman" w:hAnsi="Times New Roman" w:eastAsia="楷体_GB2312" w:cs="Times New Roman"/>
          <w:b/>
          <w:bCs/>
          <w:sz w:val="28"/>
          <w:szCs w:val="28"/>
        </w:rPr>
        <w:t>注：</w:t>
      </w:r>
      <w:r>
        <w:rPr>
          <w:rFonts w:hint="eastAsia" w:ascii="Times New Roman" w:hAnsi="Times New Roman" w:eastAsia="楷体_GB2312" w:cs="Times New Roman"/>
          <w:b/>
          <w:bCs/>
          <w:sz w:val="28"/>
          <w:szCs w:val="28"/>
          <w:lang w:eastAsia="zh-CN"/>
        </w:rPr>
        <w:t>请按照每个审计项目单独报价，合计金额</w:t>
      </w:r>
      <w:r>
        <w:rPr>
          <w:rFonts w:hint="default" w:ascii="Times New Roman" w:hAnsi="Times New Roman" w:eastAsia="楷体_GB2312" w:cs="Times New Roman"/>
          <w:b/>
          <w:bCs/>
          <w:sz w:val="28"/>
          <w:szCs w:val="28"/>
        </w:rPr>
        <w:t>应是最终验收合格后的总价。</w:t>
      </w:r>
    </w:p>
    <w:p>
      <w:pPr>
        <w:adjustRightInd w:val="0"/>
        <w:spacing w:line="400" w:lineRule="exact"/>
        <w:jc w:val="left"/>
        <w:rPr>
          <w:rFonts w:hint="default" w:ascii="Times New Roman" w:hAnsi="Times New Roman" w:eastAsia="黑体" w:cs="Times New Roman"/>
          <w:sz w:val="32"/>
          <w:szCs w:val="32"/>
        </w:rPr>
      </w:pPr>
    </w:p>
    <w:p>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hint="default" w:ascii="方正小标宋简体" w:hAnsi="方正小标宋简体" w:eastAsia="方正小标宋简体" w:cs="方正小标宋简体"/>
          <w:bCs/>
          <w:sz w:val="44"/>
          <w:szCs w:val="44"/>
        </w:rPr>
        <w:t>偏离表</w:t>
      </w:r>
    </w:p>
    <w:p>
      <w:pPr>
        <w:spacing w:line="360" w:lineRule="auto"/>
        <w:jc w:val="center"/>
        <w:rPr>
          <w:rFonts w:hint="default" w:ascii="Times New Roman" w:hAnsi="Times New Roman" w:eastAsia="仿宋_GB2312" w:cs="Times New Roman"/>
          <w:b/>
          <w:sz w:val="32"/>
          <w:szCs w:val="32"/>
        </w:rPr>
      </w:pPr>
    </w:p>
    <w:tbl>
      <w:tblPr>
        <w:tblStyle w:val="1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931"/>
        <w:gridCol w:w="2067"/>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招标要求</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投标响应</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bl>
    <w:p>
      <w:pPr>
        <w:spacing w:line="360" w:lineRule="auto"/>
        <w:ind w:firstLine="640" w:firstLineChars="200"/>
        <w:rPr>
          <w:rFonts w:hint="default" w:ascii="Times New Roman" w:hAnsi="Times New Roman" w:eastAsia="仿宋_GB2312" w:cs="Times New Roman"/>
          <w:sz w:val="32"/>
          <w:szCs w:val="32"/>
        </w:rPr>
      </w:pPr>
    </w:p>
    <w:p>
      <w:pPr>
        <w:adjustRightInd w:val="0"/>
        <w:spacing w:line="360" w:lineRule="auto"/>
        <w:ind w:firstLine="560" w:firstLineChars="175"/>
        <w:jc w:val="left"/>
        <w:rPr>
          <w:rFonts w:hint="default" w:ascii="Times New Roman" w:hAnsi="Times New Roman" w:eastAsia="仿宋_GB2312" w:cs="Times New Roman"/>
          <w:bCs/>
          <w:sz w:val="32"/>
          <w:szCs w:val="32"/>
        </w:rPr>
      </w:pP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1.此表要求投标文件与招标文件要求一一对应、逐一列出；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投标文件中与招标文件要求有负偏离的内容必须在此表中列出，否则视为无效投标。供应商必须据实填写，不得虚假响应，否则投标无效并按规定追究其相关责任。</w:t>
      </w:r>
    </w:p>
    <w:p>
      <w:pPr>
        <w:spacing w:line="360" w:lineRule="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bookmarkStart w:id="0" w:name="_Toc237343703"/>
      <w:bookmarkStart w:id="1" w:name="_Toc95295163"/>
      <w:bookmarkStart w:id="2" w:name="_Toc174767233"/>
      <w:r>
        <w:rPr>
          <w:rFonts w:hint="eastAsia" w:ascii="Times New Roman" w:hAnsi="Times New Roman" w:eastAsia="黑体" w:cs="Times New Roman"/>
          <w:sz w:val="32"/>
          <w:szCs w:val="32"/>
          <w:lang w:val="en-US" w:eastAsia="zh-CN"/>
        </w:rPr>
        <w:t>5</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zh-CN"/>
        </w:rPr>
        <w:t>（法定代表人姓名、职务）</w:t>
      </w:r>
      <w:r>
        <w:rPr>
          <w:rFonts w:hint="default" w:ascii="Times New Roman" w:hAnsi="Times New Roman" w:eastAsia="仿宋_GB2312" w:cs="Times New Roman"/>
          <w:sz w:val="32"/>
          <w:szCs w:val="32"/>
          <w:lang w:val="zh-CN"/>
        </w:rPr>
        <w:t>兹授权</w:t>
      </w:r>
      <w:r>
        <w:rPr>
          <w:rFonts w:hint="default" w:ascii="Times New Roman" w:hAnsi="Times New Roman" w:eastAsia="仿宋_GB2312" w:cs="Times New Roman"/>
          <w:sz w:val="32"/>
          <w:szCs w:val="32"/>
          <w:u w:val="single"/>
          <w:lang w:val="zh-CN"/>
        </w:rPr>
        <w:t>（被授权人姓名、职务）</w:t>
      </w:r>
      <w:r>
        <w:rPr>
          <w:rFonts w:hint="default" w:ascii="Times New Roman" w:hAnsi="Times New Roman" w:eastAsia="仿宋_GB2312" w:cs="Times New Roman"/>
          <w:sz w:val="32"/>
          <w:szCs w:val="32"/>
          <w:lang w:val="zh-CN"/>
        </w:rPr>
        <w:t>为我方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授权代表人：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adjustRightInd w:val="0"/>
        <w:spacing w:line="400" w:lineRule="exact"/>
        <w:ind w:firstLine="560" w:firstLineChars="200"/>
        <w:jc w:val="left"/>
        <w:rPr>
          <w:rFonts w:hint="default" w:ascii="Times New Roman" w:hAnsi="Times New Roman" w:eastAsia="仿宋_GB2312" w:cs="Times New Roman"/>
          <w:kern w:val="0"/>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default" w:ascii="Times New Roman" w:hAnsi="Times New Roman" w:eastAsia="楷体_GB2312" w:cs="Times New Roman"/>
          <w:b/>
          <w:bCs/>
          <w:sz w:val="28"/>
          <w:szCs w:val="28"/>
        </w:rPr>
        <w:t>特别说明：上述证明文件</w:t>
      </w:r>
      <w:r>
        <w:rPr>
          <w:rFonts w:hint="eastAsia" w:ascii="Times New Roman" w:hAnsi="Times New Roman" w:eastAsia="楷体_GB2312" w:cs="Times New Roman"/>
          <w:b/>
          <w:bCs/>
          <w:sz w:val="28"/>
          <w:szCs w:val="28"/>
          <w:lang w:eastAsia="zh-CN"/>
        </w:rPr>
        <w:t>同时</w:t>
      </w:r>
      <w:r>
        <w:rPr>
          <w:rFonts w:hint="default" w:ascii="Times New Roman" w:hAnsi="Times New Roman" w:eastAsia="楷体_GB2312" w:cs="Times New Roman"/>
          <w:b/>
          <w:bCs/>
          <w:sz w:val="28"/>
          <w:szCs w:val="28"/>
        </w:rPr>
        <w:t>附有法定代表人、授权代表身份证复印件（加盖公章）时才能生效。</w:t>
      </w:r>
    </w:p>
    <w:p>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hint="default" w:ascii="方正小标宋简体" w:hAnsi="方正小标宋简体" w:eastAsia="方正小标宋简体" w:cs="方正小标宋简体"/>
          <w:bCs/>
          <w:sz w:val="44"/>
          <w:szCs w:val="44"/>
        </w:rPr>
        <w:t>类似项目业绩一览表</w:t>
      </w:r>
    </w:p>
    <w:p>
      <w:pPr>
        <w:spacing w:line="400" w:lineRule="exact"/>
        <w:rPr>
          <w:rFonts w:hint="default" w:ascii="Times New Roman" w:hAnsi="Times New Roman" w:cs="Times New Roman"/>
          <w:sz w:val="24"/>
        </w:rPr>
      </w:pPr>
    </w:p>
    <w:tbl>
      <w:tblPr>
        <w:tblStyle w:val="10"/>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85"/>
        <w:gridCol w:w="1162"/>
        <w:gridCol w:w="1388"/>
        <w:gridCol w:w="1862"/>
        <w:gridCol w:w="1300"/>
        <w:gridCol w:w="1628"/>
        <w:gridCol w:w="1500"/>
        <w:gridCol w:w="1987"/>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序号</w:t>
            </w:r>
          </w:p>
        </w:tc>
        <w:tc>
          <w:tcPr>
            <w:tcW w:w="1162"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用户</w:t>
            </w:r>
            <w:r>
              <w:rPr>
                <w:rFonts w:hint="eastAsia" w:ascii="黑体" w:hAnsi="黑体" w:eastAsia="黑体" w:cs="黑体"/>
                <w:b w:val="0"/>
                <w:bCs/>
                <w:sz w:val="24"/>
                <w:szCs w:val="24"/>
              </w:rPr>
              <w:t>名称</w:t>
            </w:r>
          </w:p>
        </w:tc>
        <w:tc>
          <w:tcPr>
            <w:tcW w:w="1388"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862"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提供服务内容</w:t>
            </w:r>
          </w:p>
        </w:tc>
        <w:tc>
          <w:tcPr>
            <w:tcW w:w="13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合同金额</w:t>
            </w:r>
          </w:p>
        </w:tc>
        <w:tc>
          <w:tcPr>
            <w:tcW w:w="1628"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合同签订日期</w:t>
            </w:r>
          </w:p>
        </w:tc>
        <w:tc>
          <w:tcPr>
            <w:tcW w:w="15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完成时间</w:t>
            </w:r>
          </w:p>
        </w:tc>
        <w:tc>
          <w:tcPr>
            <w:tcW w:w="1987"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完成项目质量</w:t>
            </w:r>
          </w:p>
        </w:tc>
        <w:tc>
          <w:tcPr>
            <w:tcW w:w="2669"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1</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2</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3</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jc w:val="left"/>
        <w:rPr>
          <w:rFonts w:hint="default" w:ascii="Times New Roman" w:hAnsi="Times New Roman" w:eastAsia="仿宋_GB2312" w:cs="Times New Roman"/>
          <w:color w:val="auto"/>
          <w:kern w:val="0"/>
          <w:sz w:val="28"/>
          <w:szCs w:val="28"/>
        </w:rPr>
      </w:pP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eastAsia" w:ascii="楷体_GB2312" w:hAnsi="楷体_GB2312" w:eastAsia="楷体_GB2312" w:cs="楷体_GB2312"/>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楷体_GB2312" w:hAnsi="楷体_GB2312" w:eastAsia="楷体_GB2312" w:cs="楷体_GB2312"/>
          <w:b/>
          <w:bCs/>
          <w:color w:val="auto"/>
          <w:kern w:val="0"/>
          <w:sz w:val="28"/>
          <w:szCs w:val="28"/>
        </w:rPr>
        <w:t>注：以上业绩需提供合同协议书或者用户证明文件的复印件，</w:t>
      </w:r>
      <w:r>
        <w:rPr>
          <w:rFonts w:hint="eastAsia" w:ascii="楷体_GB2312" w:hAnsi="楷体_GB2312" w:eastAsia="楷体_GB2312" w:cs="楷体_GB2312"/>
          <w:b/>
          <w:bCs/>
          <w:color w:val="auto"/>
          <w:kern w:val="0"/>
          <w:sz w:val="28"/>
          <w:szCs w:val="28"/>
          <w:lang w:eastAsia="zh-CN"/>
        </w:rPr>
        <w:t>其中“</w:t>
      </w:r>
      <w:r>
        <w:rPr>
          <w:rFonts w:hint="eastAsia" w:ascii="楷体_GB2312" w:hAnsi="楷体_GB2312" w:eastAsia="楷体_GB2312" w:cs="楷体_GB2312"/>
          <w:b/>
          <w:bCs/>
          <w:color w:val="auto"/>
          <w:kern w:val="0"/>
          <w:sz w:val="28"/>
          <w:szCs w:val="28"/>
        </w:rPr>
        <w:t>完成项目质量</w:t>
      </w:r>
      <w:r>
        <w:rPr>
          <w:rFonts w:hint="eastAsia" w:ascii="楷体_GB2312" w:hAnsi="楷体_GB2312" w:eastAsia="楷体_GB2312" w:cs="楷体_GB2312"/>
          <w:b/>
          <w:bCs/>
          <w:color w:val="auto"/>
          <w:kern w:val="0"/>
          <w:sz w:val="28"/>
          <w:szCs w:val="28"/>
          <w:lang w:eastAsia="zh-CN"/>
        </w:rPr>
        <w:t>”</w:t>
      </w:r>
      <w:r>
        <w:rPr>
          <w:rFonts w:hint="eastAsia" w:ascii="楷体_GB2312" w:hAnsi="楷体_GB2312" w:eastAsia="楷体_GB2312" w:cs="楷体_GB2312"/>
          <w:b/>
          <w:bCs/>
          <w:color w:val="auto"/>
          <w:kern w:val="0"/>
          <w:sz w:val="28"/>
          <w:szCs w:val="28"/>
        </w:rPr>
        <w:t>需提供合同验收合格或用户单位书面证明材料。</w:t>
      </w: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cs="宋体"/>
          <w:bCs/>
          <w:color w:val="auto"/>
          <w:kern w:val="0"/>
          <w:sz w:val="40"/>
          <w:szCs w:val="44"/>
          <w:shd w:val="clear" w:color="auto" w:fill="FFFFFF"/>
        </w:rPr>
      </w:pPr>
      <w:r>
        <w:rPr>
          <w:rFonts w:hint="eastAsia" w:ascii="方正小标宋简体" w:hAnsi="宋体" w:eastAsia="方正小标宋简体" w:cs="宋体"/>
          <w:bCs/>
          <w:color w:val="auto"/>
          <w:kern w:val="0"/>
          <w:sz w:val="40"/>
          <w:szCs w:val="44"/>
          <w:shd w:val="clear" w:color="auto" w:fill="FFFFFF"/>
        </w:rPr>
        <w:t>供应商符合《政府采购法》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kern w:val="0"/>
          <w:sz w:val="40"/>
          <w:szCs w:val="44"/>
          <w:shd w:val="clear" w:color="auto" w:fill="FFFFFF"/>
          <w:lang w:eastAsia="zh-CN"/>
        </w:rPr>
      </w:pPr>
      <w:r>
        <w:rPr>
          <w:rFonts w:hint="eastAsia" w:ascii="方正小标宋简体" w:hAnsi="宋体" w:eastAsia="方正小标宋简体" w:cs="宋体"/>
          <w:bCs/>
          <w:color w:val="auto"/>
          <w:kern w:val="0"/>
          <w:sz w:val="40"/>
          <w:szCs w:val="44"/>
          <w:shd w:val="clear" w:color="auto" w:fill="FFFFFF"/>
        </w:rPr>
        <w:t>第二十二条规定条件的承诺</w:t>
      </w:r>
      <w:r>
        <w:rPr>
          <w:rFonts w:hint="eastAsia" w:ascii="方正小标宋简体" w:hAnsi="宋体" w:eastAsia="方正小标宋简体" w:cs="宋体"/>
          <w:bCs/>
          <w:color w:val="auto"/>
          <w:kern w:val="0"/>
          <w:sz w:val="40"/>
          <w:szCs w:val="44"/>
          <w:shd w:val="clear" w:color="auto" w:fill="FFFFFF"/>
          <w:lang w:eastAsia="zh-CN"/>
        </w:rPr>
        <w:t>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公司</w:t>
      </w:r>
      <w:r>
        <w:rPr>
          <w:rFonts w:hint="eastAsia" w:ascii="仿宋_GB2312" w:hAnsi="仿宋_GB2312" w:eastAsia="仿宋_GB2312" w:cs="仿宋_GB2312"/>
          <w:sz w:val="30"/>
          <w:szCs w:val="30"/>
          <w:u w:val="single"/>
          <w:lang w:val="en-US" w:eastAsia="zh-CN"/>
        </w:rPr>
        <w:t xml:space="preserve">   （公司名称）   </w:t>
      </w:r>
      <w:r>
        <w:rPr>
          <w:rFonts w:hint="eastAsia" w:ascii="仿宋_GB2312" w:hAnsi="仿宋_GB2312" w:eastAsia="仿宋_GB2312" w:cs="仿宋_GB2312"/>
          <w:sz w:val="30"/>
          <w:szCs w:val="30"/>
          <w:lang w:eastAsia="zh-CN"/>
        </w:rPr>
        <w:t>参加</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u w:val="none"/>
          <w:lang w:val="en-US" w:eastAsia="zh-CN"/>
        </w:rPr>
        <w:t>的招标采购活动</w:t>
      </w:r>
      <w:r>
        <w:rPr>
          <w:rFonts w:hint="eastAsia" w:ascii="仿宋_GB2312" w:hAnsi="仿宋_GB2312" w:eastAsia="仿宋_GB2312" w:cs="仿宋_GB2312"/>
          <w:sz w:val="30"/>
          <w:szCs w:val="30"/>
        </w:rPr>
        <w:t>，根据采购文件要求，现郑重承诺如下：</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我方</w:t>
      </w:r>
      <w:r>
        <w:rPr>
          <w:rFonts w:hint="eastAsia" w:ascii="仿宋_GB2312" w:hAnsi="仿宋_GB2312" w:eastAsia="仿宋_GB2312" w:cs="仿宋_GB2312"/>
          <w:sz w:val="30"/>
          <w:szCs w:val="30"/>
        </w:rPr>
        <w:t>满足《中华人民共和国政府采购法》第二十二条规定的条件：</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2.具有良好的商业信誉和健全的财务会计制度；</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5.参加本次采购活动前三年内，在经营活动中没有重大违法记录；</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我方</w:t>
      </w:r>
      <w:r>
        <w:rPr>
          <w:rFonts w:hint="eastAsia" w:ascii="仿宋_GB2312" w:hAnsi="仿宋_GB2312" w:eastAsia="仿宋_GB2312" w:cs="仿宋_GB2312"/>
          <w:sz w:val="30"/>
          <w:szCs w:val="30"/>
        </w:rPr>
        <w:t>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三、我方承诺在同等条件下，对于采购文件关于知识产权的实质性要求我方承诺完全响应；其它采购文件的实质性要求我方承诺完全响应。</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bookmarkStart w:id="3" w:name="_Hlk507060843"/>
      <w:r>
        <w:rPr>
          <w:rFonts w:hint="eastAsia" w:ascii="仿宋_GB2312" w:hAnsi="仿宋_GB2312" w:eastAsia="仿宋_GB2312" w:cs="仿宋_GB2312"/>
          <w:sz w:val="30"/>
          <w:szCs w:val="30"/>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五、在参加本次采购活动前一年内，本公司如果有受到行政处罚、处理且在有效期内的失信行为，将在响应文件中全面如实反映。</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六、本公司及现任法定代表人、主要负责人在参加本次采购活动前三年内不具有行贿犯罪记录。</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七、响应文件中提供的我公司关于技术、服务、商务等响应承诺情况都是真实的、有效的、合法的。</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bookmarkStart w:id="4" w:name="_Toc495950802"/>
      <w:r>
        <w:rPr>
          <w:rFonts w:hint="eastAsia" w:ascii="仿宋_GB2312" w:hAnsi="仿宋_GB2312" w:eastAsia="仿宋_GB2312" w:cs="仿宋_GB2312"/>
          <w:sz w:val="30"/>
          <w:szCs w:val="30"/>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w:t>
      </w:r>
      <w:bookmarkEnd w:id="4"/>
      <w:r>
        <w:rPr>
          <w:rFonts w:hint="eastAsia" w:ascii="仿宋_GB2312" w:hAnsi="仿宋_GB2312" w:eastAsia="仿宋_GB2312" w:cs="仿宋_GB2312"/>
          <w:sz w:val="30"/>
          <w:szCs w:val="30"/>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9"/>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楷体_GB2312" w:hAnsi="楷体_GB2312" w:eastAsia="楷体_GB2312" w:cs="楷体_GB2312"/>
          <w:color w:val="000000"/>
          <w:kern w:val="0"/>
          <w:sz w:val="28"/>
          <w:szCs w:val="28"/>
        </w:rPr>
        <w:t>本承诺书一式</w:t>
      </w:r>
      <w:r>
        <w:rPr>
          <w:rFonts w:hint="eastAsia" w:ascii="楷体_GB2312" w:hAnsi="楷体_GB2312" w:eastAsia="楷体_GB2312" w:cs="楷体_GB2312"/>
          <w:color w:val="000000"/>
          <w:kern w:val="0"/>
          <w:sz w:val="28"/>
          <w:szCs w:val="28"/>
          <w:lang w:eastAsia="zh-CN"/>
        </w:rPr>
        <w:t>贰</w:t>
      </w:r>
      <w:r>
        <w:rPr>
          <w:rFonts w:hint="eastAsia" w:ascii="楷体_GB2312" w:hAnsi="楷体_GB2312" w:eastAsia="楷体_GB2312" w:cs="楷体_GB2312"/>
          <w:color w:val="000000"/>
          <w:kern w:val="0"/>
          <w:sz w:val="28"/>
          <w:szCs w:val="28"/>
        </w:rPr>
        <w:t>份（</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份由承诺人自存；</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份随竞价书传递）</w:t>
      </w:r>
    </w:p>
    <w:p>
      <w:pPr>
        <w:pStyle w:val="2"/>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tabs>
          <w:tab w:val="left" w:pos="6645"/>
        </w:tabs>
        <w:spacing w:line="360" w:lineRule="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附件8</w:t>
      </w:r>
    </w:p>
    <w:p>
      <w:pPr>
        <w:tabs>
          <w:tab w:val="left" w:pos="6645"/>
        </w:tabs>
        <w:spacing w:line="360" w:lineRule="auto"/>
        <w:jc w:val="center"/>
        <w:rPr>
          <w:rFonts w:hint="eastAsia"/>
          <w:b w:val="0"/>
          <w:bCs w:val="0"/>
        </w:rPr>
      </w:pPr>
      <w:r>
        <w:rPr>
          <w:rFonts w:hint="eastAsia" w:ascii="方正小标宋简体" w:hAnsi="方正小标宋简体" w:eastAsia="方正小标宋简体" w:cs="方正小标宋简体"/>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lang w:val="en-US" w:eastAsia="zh-CN"/>
        </w:rPr>
        <w:t>采购项目名称：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w:t>
      </w:r>
      <w:r>
        <w:rPr>
          <w:rFonts w:hint="eastAsia" w:ascii="仿宋_GB2312" w:hAnsi="宋体" w:eastAsia="仿宋_GB2312" w:cs="宋体"/>
          <w:color w:val="000000"/>
          <w:kern w:val="0"/>
          <w:sz w:val="30"/>
          <w:szCs w:val="30"/>
          <w:lang w:val="en-US" w:eastAsia="zh-CN"/>
        </w:rPr>
        <w:t>网络新闻与媒体传播信息监测服务项目</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宋体" w:eastAsia="仿宋_GB2312" w:cs="宋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楷体_GB2312" w:hAnsi="楷体_GB2312" w:eastAsia="楷体_GB2312" w:cs="楷体_GB2312"/>
          <w:color w:val="000000"/>
          <w:kern w:val="0"/>
          <w:sz w:val="28"/>
          <w:szCs w:val="28"/>
        </w:rPr>
        <w:t>本承诺书一式</w:t>
      </w:r>
      <w:r>
        <w:rPr>
          <w:rFonts w:hint="eastAsia" w:ascii="楷体_GB2312" w:hAnsi="楷体_GB2312" w:eastAsia="楷体_GB2312" w:cs="楷体_GB2312"/>
          <w:color w:val="000000"/>
          <w:kern w:val="0"/>
          <w:sz w:val="28"/>
          <w:szCs w:val="28"/>
          <w:lang w:eastAsia="zh-CN"/>
        </w:rPr>
        <w:t>贰</w:t>
      </w:r>
      <w:r>
        <w:rPr>
          <w:rFonts w:hint="eastAsia" w:ascii="楷体_GB2312" w:hAnsi="楷体_GB2312" w:eastAsia="楷体_GB2312" w:cs="楷体_GB2312"/>
          <w:color w:val="000000"/>
          <w:kern w:val="0"/>
          <w:sz w:val="28"/>
          <w:szCs w:val="28"/>
        </w:rPr>
        <w:t>份（</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份由承诺人自存；</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份随竞价书传递）</w:t>
      </w:r>
    </w:p>
    <w:p>
      <w:pPr>
        <w:tabs>
          <w:tab w:val="left" w:pos="6645"/>
        </w:tabs>
        <w:spacing w:line="360" w:lineRule="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附件9</w:t>
      </w:r>
    </w:p>
    <w:p>
      <w:pPr>
        <w:tabs>
          <w:tab w:val="left" w:pos="6645"/>
        </w:tabs>
        <w:spacing w:line="360" w:lineRule="auto"/>
        <w:jc w:val="center"/>
        <w:rPr>
          <w:rFonts w:hint="eastAsia"/>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4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度网络新闻与媒体传播信息监测服务项目</w:t>
      </w:r>
      <w:r>
        <w:rPr>
          <w:rFonts w:hint="eastAsia" w:ascii="仿宋_GB2312" w:hAnsi="仿宋_GB2312" w:eastAsia="仿宋_GB2312" w:cs="仿宋_GB2312"/>
          <w:sz w:val="30"/>
          <w:szCs w:val="30"/>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00" w:firstLineChars="200"/>
        <w:textAlignment w:val="auto"/>
        <w:rPr>
          <w:rFonts w:hint="eastAsia"/>
          <w:sz w:val="30"/>
          <w:szCs w:val="30"/>
          <w:lang w:val="en-US" w:eastAsia="zh-CN"/>
        </w:rPr>
      </w:pPr>
      <w:r>
        <w:rPr>
          <w:rFonts w:hint="eastAsia" w:ascii="仿宋_GB2312" w:hAnsi="仿宋_GB2312" w:eastAsia="仿宋_GB2312" w:cs="仿宋_GB2312"/>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4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40" w:lineRule="exact"/>
        <w:ind w:firstLine="560"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本承诺书一式</w:t>
      </w:r>
      <w:r>
        <w:rPr>
          <w:rFonts w:hint="eastAsia" w:ascii="楷体_GB2312" w:hAnsi="楷体_GB2312" w:eastAsia="楷体_GB2312" w:cs="楷体_GB2312"/>
          <w:color w:val="000000"/>
          <w:kern w:val="0"/>
          <w:sz w:val="28"/>
          <w:szCs w:val="28"/>
          <w:lang w:eastAsia="zh-CN"/>
        </w:rPr>
        <w:t>贰</w:t>
      </w:r>
      <w:r>
        <w:rPr>
          <w:rFonts w:hint="eastAsia" w:ascii="楷体_GB2312" w:hAnsi="楷体_GB2312" w:eastAsia="楷体_GB2312" w:cs="楷体_GB2312"/>
          <w:color w:val="000000"/>
          <w:kern w:val="0"/>
          <w:sz w:val="28"/>
          <w:szCs w:val="28"/>
        </w:rPr>
        <w:t>份（</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份由承诺人自存；</w:t>
      </w:r>
      <w:r>
        <w:rPr>
          <w:rFonts w:hint="eastAsia" w:ascii="楷体_GB2312" w:hAnsi="楷体_GB2312" w:eastAsia="楷体_GB2312" w:cs="楷体_GB2312"/>
          <w:color w:val="000000"/>
          <w:kern w:val="0"/>
          <w:sz w:val="28"/>
          <w:szCs w:val="28"/>
          <w:lang w:eastAsia="zh-CN"/>
        </w:rPr>
        <w:t>壹</w:t>
      </w:r>
      <w:r>
        <w:rPr>
          <w:rFonts w:hint="eastAsia" w:ascii="楷体_GB2312" w:hAnsi="楷体_GB2312" w:eastAsia="楷体_GB2312" w:cs="楷体_GB2312"/>
          <w:color w:val="000000"/>
          <w:kern w:val="0"/>
          <w:sz w:val="28"/>
          <w:szCs w:val="28"/>
        </w:rPr>
        <w:t>份随竞价书传递）</w:t>
      </w:r>
    </w:p>
    <w:p>
      <w:pPr>
        <w:tabs>
          <w:tab w:val="left" w:pos="6645"/>
        </w:tabs>
        <w:spacing w:line="360" w:lineRule="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附件10</w:t>
      </w:r>
    </w:p>
    <w:p>
      <w:pPr>
        <w:widowControl/>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致四川省妇幼保健院：</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我单位作为本次采购项目的供应商，根据响应文件要求，现郑重承诺如下：</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一、参加本次采购活动，我单位不存在与单位负责人为同一人或者存在直接控股、管理关系的其他供应商参与同一合同项下的采购活动的行为。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二、参加本次采购活动，不得直接或者间接从采购人或者采购代理机构处获得其他供应商的相关情况并修改其投标文件或者响应文件。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三、参加本次采购活动，不得按照采购人的授意撤换、修改投标文件或者响应文件。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四、参加本次采购活动，不得和本次采购供应商之间协商报价、技术方案等投标文件或者响应文件的实质性内容。</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五、本次采购活动中，不存在属于同一集团、协会、商会等组织成员的供应商按照该组织要求协同参加本次采购活动。</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六、参加本次采购活动，不存在与其他供应商之间事先约定由某一特定供应商中标、成交。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七、参加本次采购活动，不存在与其他供应商商定部分供应商放弃参加采购活动或者放弃中标、成交。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八、参加本次采购活动，不存在我单位的投标文件或者响应文件由其他参与本项目的单位或个人编制或委托办理投标事宜。</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九、参加本次采购活动，不存在我单位与采购人之间、供应商相互之间，为谋求特定供应商中标、成交或者排斥其他供应商的其他串通行为。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十、与我方存在直接控股关系的单位为：</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；存在管理关系单位为：</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供应商名称（单位公章）：                 年    月   日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法定代表人/单位负责人或授权代表</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（签字或加盖个人名章）：       </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b/>
          <w:bCs/>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注</w:t>
      </w:r>
      <w:r>
        <w:rPr>
          <w:rFonts w:hint="default" w:ascii="Times New Roman" w:hAnsi="Times New Roman" w:eastAsia="仿宋_GB2312" w:cs="Times New Roman"/>
          <w:kern w:val="0"/>
          <w:sz w:val="32"/>
          <w:szCs w:val="32"/>
        </w:rPr>
        <w:t>：</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1.“负责人”是指单位法定代表人或者法律、行政法规规定代表单位行使职权的主要负责人。</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hint="default" w:ascii="Times New Roman" w:hAnsi="Times New Roman" w:cs="Times New Roman"/>
          <w:sz w:val="24"/>
          <w:szCs w:val="24"/>
        </w:rPr>
      </w:pPr>
      <w:r>
        <w:rPr>
          <w:rFonts w:hint="default" w:ascii="Times New Roman" w:hAnsi="Times New Roman" w:eastAsia="仿宋_GB2312" w:cs="Times New Roman"/>
          <w:kern w:val="0"/>
          <w:sz w:val="32"/>
          <w:szCs w:val="32"/>
        </w:rPr>
        <w:t>3.“管理关系”是指与不具有出资持股关系的单位之间存在的其他管理与被管理关系。</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default" w:ascii="楷体_GB2312" w:hAnsi="楷体_GB2312" w:eastAsia="楷体_GB2312" w:cs="楷体_GB2312"/>
          <w:color w:val="000000"/>
          <w:kern w:val="0"/>
          <w:sz w:val="28"/>
          <w:szCs w:val="28"/>
          <w:lang w:val="en-US" w:eastAsia="zh-CN"/>
        </w:rPr>
      </w:pPr>
    </w:p>
    <w:sectPr>
      <w:pgSz w:w="11906" w:h="16838"/>
      <w:pgMar w:top="1497"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157"/>
    <w:rsid w:val="002744EF"/>
    <w:rsid w:val="002D0157"/>
    <w:rsid w:val="00401024"/>
    <w:rsid w:val="004023F5"/>
    <w:rsid w:val="004245CC"/>
    <w:rsid w:val="0048058B"/>
    <w:rsid w:val="00532577"/>
    <w:rsid w:val="00577D60"/>
    <w:rsid w:val="005D2114"/>
    <w:rsid w:val="006048E7"/>
    <w:rsid w:val="00665AC7"/>
    <w:rsid w:val="00716675"/>
    <w:rsid w:val="00751F40"/>
    <w:rsid w:val="007B0A4A"/>
    <w:rsid w:val="007C21CF"/>
    <w:rsid w:val="007E5CD5"/>
    <w:rsid w:val="008055B0"/>
    <w:rsid w:val="00AA7994"/>
    <w:rsid w:val="00AD7A42"/>
    <w:rsid w:val="00C83EAF"/>
    <w:rsid w:val="00E61F76"/>
    <w:rsid w:val="00E80513"/>
    <w:rsid w:val="00EE50EE"/>
    <w:rsid w:val="00F52C4D"/>
    <w:rsid w:val="00F83399"/>
    <w:rsid w:val="00FB0274"/>
    <w:rsid w:val="00FC42D3"/>
    <w:rsid w:val="03130EA0"/>
    <w:rsid w:val="05EB221D"/>
    <w:rsid w:val="0DBE4B1B"/>
    <w:rsid w:val="0E387B69"/>
    <w:rsid w:val="10FA5A96"/>
    <w:rsid w:val="11107F31"/>
    <w:rsid w:val="11C81DD3"/>
    <w:rsid w:val="1332298F"/>
    <w:rsid w:val="17D363F7"/>
    <w:rsid w:val="18A3499E"/>
    <w:rsid w:val="1EBC4680"/>
    <w:rsid w:val="219015D8"/>
    <w:rsid w:val="27D5796E"/>
    <w:rsid w:val="27DB60A5"/>
    <w:rsid w:val="298A5D22"/>
    <w:rsid w:val="2A5648AE"/>
    <w:rsid w:val="2DEB0973"/>
    <w:rsid w:val="307B22C3"/>
    <w:rsid w:val="322853F3"/>
    <w:rsid w:val="3371411A"/>
    <w:rsid w:val="353F6406"/>
    <w:rsid w:val="35E45B6F"/>
    <w:rsid w:val="36D54A90"/>
    <w:rsid w:val="393A3F57"/>
    <w:rsid w:val="399339B8"/>
    <w:rsid w:val="3A3E4BAA"/>
    <w:rsid w:val="3B8546A4"/>
    <w:rsid w:val="3C7B16B2"/>
    <w:rsid w:val="42B02233"/>
    <w:rsid w:val="44E12FCE"/>
    <w:rsid w:val="47CD3BEC"/>
    <w:rsid w:val="48601602"/>
    <w:rsid w:val="4C6A13A0"/>
    <w:rsid w:val="4CB34251"/>
    <w:rsid w:val="529C2BD7"/>
    <w:rsid w:val="533F6CB7"/>
    <w:rsid w:val="540D6097"/>
    <w:rsid w:val="55616585"/>
    <w:rsid w:val="5CBC6EEF"/>
    <w:rsid w:val="618E4ED7"/>
    <w:rsid w:val="667E4DB2"/>
    <w:rsid w:val="69E20B1E"/>
    <w:rsid w:val="6DBD5705"/>
    <w:rsid w:val="70827424"/>
    <w:rsid w:val="73E67E66"/>
    <w:rsid w:val="74C80EE5"/>
    <w:rsid w:val="7886358E"/>
    <w:rsid w:val="7BD7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0"/>
    <w:pPr>
      <w:ind w:firstLine="420"/>
    </w:pPr>
  </w:style>
  <w:style w:type="paragraph" w:styleId="5">
    <w:name w:val="Body Text Indent"/>
    <w:basedOn w:val="1"/>
    <w:link w:val="16"/>
    <w:uiPriority w:val="0"/>
    <w:pPr>
      <w:spacing w:after="120"/>
      <w:ind w:left="420" w:leftChars="200"/>
    </w:pPr>
    <w:rPr>
      <w:rFonts w:ascii="Times New Roman" w:hAnsi="Times New Roman" w:eastAsia="宋体" w:cs="Times New Roman"/>
      <w:szCs w:val="24"/>
    </w:rPr>
  </w:style>
  <w:style w:type="paragraph" w:styleId="6">
    <w:name w:val="Balloon Text"/>
    <w:basedOn w:val="1"/>
    <w:link w:val="17"/>
    <w:semiHidden/>
    <w:unhideWhenUsed/>
    <w:uiPriority w:val="99"/>
    <w:rPr>
      <w:sz w:val="18"/>
      <w:szCs w:val="18"/>
    </w:rPr>
  </w:style>
  <w:style w:type="paragraph" w:styleId="7">
    <w:name w:val="footer"/>
    <w:basedOn w:val="1"/>
    <w:link w:val="13"/>
    <w:semiHidden/>
    <w:unhideWhenUsed/>
    <w:uiPriority w:val="99"/>
    <w:pPr>
      <w:tabs>
        <w:tab w:val="center" w:pos="4153"/>
        <w:tab w:val="right" w:pos="8306"/>
      </w:tabs>
      <w:snapToGrid w:val="0"/>
      <w:jc w:val="left"/>
    </w:pPr>
    <w:rPr>
      <w:sz w:val="18"/>
      <w:szCs w:val="18"/>
    </w:rPr>
  </w:style>
  <w:style w:type="paragraph" w:styleId="8">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2 Char"/>
    <w:basedOn w:val="11"/>
    <w:link w:val="3"/>
    <w:uiPriority w:val="0"/>
    <w:rPr>
      <w:rFonts w:ascii="Arial" w:hAnsi="Arial" w:eastAsia="黑体" w:cs="Times New Roman"/>
      <w:b/>
      <w:bCs/>
      <w:sz w:val="32"/>
      <w:szCs w:val="32"/>
    </w:rPr>
  </w:style>
  <w:style w:type="paragraph" w:styleId="15">
    <w:name w:val="List Paragraph"/>
    <w:basedOn w:val="1"/>
    <w:qFormat/>
    <w:uiPriority w:val="34"/>
    <w:pPr>
      <w:ind w:firstLine="420" w:firstLineChars="200"/>
    </w:pPr>
  </w:style>
  <w:style w:type="character" w:customStyle="1" w:styleId="16">
    <w:name w:val="正文文本缩进 Char"/>
    <w:basedOn w:val="11"/>
    <w:link w:val="5"/>
    <w:uiPriority w:val="0"/>
    <w:rPr>
      <w:rFonts w:ascii="Times New Roman" w:hAnsi="Times New Roman" w:eastAsia="宋体" w:cs="Times New Roman"/>
      <w:szCs w:val="24"/>
    </w:rPr>
  </w:style>
  <w:style w:type="character" w:customStyle="1" w:styleId="17">
    <w:name w:val="批注框文本 Char"/>
    <w:basedOn w:val="11"/>
    <w:link w:val="6"/>
    <w:semiHidden/>
    <w:qFormat/>
    <w:uiPriority w:val="99"/>
    <w:rPr>
      <w:sz w:val="18"/>
      <w:szCs w:val="18"/>
    </w:rPr>
  </w:style>
  <w:style w:type="paragraph" w:customStyle="1" w:styleId="18">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paragraph" w:customStyle="1" w:styleId="19">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469</Words>
  <Characters>2679</Characters>
  <Lines>22</Lines>
  <Paragraphs>6</Paragraphs>
  <TotalTime>0</TotalTime>
  <ScaleCrop>false</ScaleCrop>
  <LinksUpToDate>false</LinksUpToDate>
  <CharactersWithSpaces>3142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2021-06-03T01:20:00Z</dcterms:created>
  <dc:creator>唐洁</dc:creator>
  <cp:lastModifiedBy>唐洁</cp:lastModifiedBy>
  <dcterms:modified xsi:type="dcterms:W3CDTF">2023-07-26T06:37:31Z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