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tbl>
      <w:tblPr>
        <w:tblStyle w:val="7"/>
        <w:tblpPr w:leftFromText="180" w:rightFromText="180" w:vertAnchor="text" w:horzAnchor="page" w:tblpX="901" w:tblpY="894"/>
        <w:tblOverlap w:val="never"/>
        <w:tblW w:w="5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39"/>
        <w:gridCol w:w="105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36" w:type="pct"/>
            <w:noWrap w:val="0"/>
            <w:vAlign w:val="center"/>
          </w:tcPr>
          <w:p>
            <w:pPr>
              <w:spacing w:line="420" w:lineRule="exact"/>
              <w:jc w:val="center"/>
              <w:rPr>
                <w:rFonts w:hint="eastAsia" w:ascii="宋体" w:hAnsi="宋体" w:cs="Segoe UI"/>
                <w:spacing w:val="8"/>
                <w:kern w:val="0"/>
                <w:sz w:val="18"/>
                <w:szCs w:val="18"/>
              </w:rPr>
            </w:pPr>
            <w:r>
              <w:rPr>
                <w:rFonts w:hint="eastAsia" w:cs="宋体"/>
                <w:color w:val="000000"/>
                <w:kern w:val="0"/>
              </w:rPr>
              <w:t>序号</w:t>
            </w:r>
          </w:p>
        </w:tc>
        <w:tc>
          <w:tcPr>
            <w:tcW w:w="581" w:type="pct"/>
            <w:noWrap w:val="0"/>
            <w:vAlign w:val="center"/>
          </w:tcPr>
          <w:p>
            <w:pPr>
              <w:spacing w:line="420" w:lineRule="exact"/>
              <w:jc w:val="center"/>
              <w:rPr>
                <w:rFonts w:hint="eastAsia" w:cs="宋体"/>
                <w:color w:val="000000"/>
                <w:kern w:val="0"/>
              </w:rPr>
            </w:pPr>
            <w:r>
              <w:rPr>
                <w:rFonts w:hint="eastAsia" w:cs="宋体"/>
                <w:color w:val="000000"/>
                <w:kern w:val="0"/>
              </w:rPr>
              <w:t>产品名称</w:t>
            </w:r>
          </w:p>
        </w:tc>
        <w:tc>
          <w:tcPr>
            <w:tcW w:w="540" w:type="pct"/>
            <w:noWrap w:val="0"/>
            <w:vAlign w:val="center"/>
          </w:tcPr>
          <w:p>
            <w:pPr>
              <w:spacing w:line="420" w:lineRule="exact"/>
              <w:jc w:val="center"/>
              <w:rPr>
                <w:rFonts w:cs="宋体"/>
                <w:color w:val="000000"/>
                <w:kern w:val="0"/>
              </w:rPr>
            </w:pPr>
            <w:r>
              <w:rPr>
                <w:rFonts w:hint="eastAsia" w:cs="宋体"/>
                <w:color w:val="000000"/>
                <w:kern w:val="0"/>
              </w:rPr>
              <w:t>年度预估</w:t>
            </w:r>
            <w:r>
              <w:rPr>
                <w:rFonts w:hint="eastAsia" w:cs="宋体"/>
                <w:color w:val="000000"/>
                <w:kern w:val="0"/>
                <w:lang w:val="en-US" w:eastAsia="zh-CN"/>
              </w:rPr>
              <w:t>用</w:t>
            </w:r>
            <w:r>
              <w:rPr>
                <w:rFonts w:hint="eastAsia" w:cs="宋体"/>
                <w:color w:val="000000"/>
                <w:kern w:val="0"/>
              </w:rPr>
              <w:t>量（</w:t>
            </w:r>
            <w:r>
              <w:rPr>
                <w:rFonts w:hint="eastAsia" w:cs="宋体"/>
                <w:color w:val="000000"/>
                <w:kern w:val="0"/>
                <w:lang w:val="en-US" w:eastAsia="zh-CN"/>
              </w:rPr>
              <w:t>个</w:t>
            </w:r>
            <w:r>
              <w:rPr>
                <w:rFonts w:hint="eastAsia" w:cs="宋体"/>
                <w:color w:val="000000"/>
                <w:kern w:val="0"/>
              </w:rPr>
              <w:t>）</w:t>
            </w:r>
          </w:p>
        </w:tc>
        <w:tc>
          <w:tcPr>
            <w:tcW w:w="3541" w:type="pct"/>
            <w:noWrap w:val="0"/>
            <w:vAlign w:val="center"/>
          </w:tcPr>
          <w:p>
            <w:pPr>
              <w:spacing w:line="420" w:lineRule="exact"/>
              <w:jc w:val="center"/>
              <w:rPr>
                <w:rFonts w:hint="eastAsia" w:cs="宋体"/>
                <w:color w:val="000000"/>
                <w:kern w:val="0"/>
              </w:rPr>
            </w:pPr>
            <w:r>
              <w:rPr>
                <w:rFonts w:hint="eastAsia" w:cs="宋体"/>
                <w:color w:val="000000"/>
                <w:kern w:val="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一次性气管插管及配件</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1200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1.用途：用于短期插管，急救、手术插管等；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 3.0/3.5/4.0/4.5/5.0/5.5/6.0/6.5/7.0/7.5/8.0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3.技术参数和要求：带低压气囊，紧密贴合的不透明气囊，提供操作可见度，置管便捷，有带孔和无孔两种，不含乳胶，消毒包装，产品由一次性使用的高密度聚氯乙烯或符合要求的材质合成。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一次性无菌气管插管（经口）</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700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1.用途：用于短期/长期头部、五官科，颌面外科，神经外科手术，经口气管插管；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2.规格：3.5/4.0/4.5/5.0/5.5/6.0/6.5/7.0/7.5/8.0；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3.技术参数和要求：根据解剖结构塑形，PVC材质，含低压气囊，半固定接头，带可靠的注射器锁定阀，杯状防损伤尖端持续X线标记，有位置指示标记，有指示球囊管体刻度标记。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一次性无菌气管插管（经鼻）</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700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1.用途：用于短期/长期头部、五官科，颌面外科，神经外科手术，经鼻气管插管；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2.规格：3.5/4.0/4.5/5.0/5.5/6.0/6.5/7.0/7.5/8.0；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3.技术参数和要求：根据解剖结构塑形，PVC材质，含低压气囊，半固定接头，带可靠的注射器锁定阀，杯状防损伤尖端持续X线标记，有位置指示标记，有指示球囊管体刻度标记。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4</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一次性无菌气管插管（加强型）</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40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1.用途：用于手术中病人头部改变位置的手术，如：头颈外科手术，颚部手术，上颌面部整形手术等，预成弧形加强型气管插管；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2.规格：3.5/4.0/4.5/5.0/5.5/6.0/6.5/7.0/7.5/8.0；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3.技术参数和要求：PVC材质，柔韧性好，加强筋不锈钢丝具抗扭结。</w:t>
            </w:r>
          </w:p>
        </w:tc>
      </w:tr>
    </w:tbl>
    <w:p>
      <w:pPr>
        <w:rPr>
          <w:rFonts w:hint="eastAsia"/>
        </w:rPr>
      </w:pP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14.5万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2.供货期限：3年，采购数量以实际使用量为准。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需提供报价产品的挂网商品代码或产品ID,并提供挂网截图。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pStyle w:val="3"/>
        <w:numPr>
          <w:ilvl w:val="0"/>
          <w:numId w:val="0"/>
        </w:numPr>
        <w:spacing w:line="400" w:lineRule="exact"/>
        <w:ind w:leftChars="0"/>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4.本项目的“年度预计用量” 、供应商的“响应总价”仅做为报价评审依据，结算以实际发生量乘以供应商响应单价结算。</w:t>
      </w:r>
    </w:p>
    <w:p>
      <w:pPr>
        <w:pStyle w:val="2"/>
        <w:rPr>
          <w:rFonts w:hint="default"/>
          <w:lang w:val="en-US" w:eastAsia="zh-CN"/>
        </w:rPr>
      </w:pPr>
      <w:r>
        <w:rPr>
          <w:rFonts w:hint="eastAsia" w:ascii="仿宋" w:hAnsi="仿宋" w:eastAsia="仿宋" w:cs="宋体"/>
          <w:color w:val="000000"/>
          <w:kern w:val="0"/>
          <w:sz w:val="28"/>
          <w:szCs w:val="28"/>
          <w:lang w:val="en-US" w:eastAsia="zh-CN"/>
        </w:rPr>
        <w:t>5.投标报价不能超过年度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widowControl/>
        <w:jc w:val="left"/>
        <w:rPr>
          <w:rFonts w:hint="eastAsia" w:ascii="宋体" w:hAnsi="宋体" w:eastAsia="宋体" w:cs="Segoe UI"/>
          <w:b/>
          <w:bCs/>
          <w:color w:val="333333"/>
          <w:kern w:val="0"/>
          <w:sz w:val="28"/>
          <w:szCs w:val="28"/>
        </w:rPr>
      </w:pPr>
      <w:r>
        <w:rPr>
          <w:rFonts w:hint="eastAsia" w:ascii="仿宋" w:hAnsi="仿宋" w:eastAsia="仿宋" w:cs="宋体"/>
          <w:color w:val="000000"/>
          <w:kern w:val="0"/>
          <w:sz w:val="28"/>
          <w:szCs w:val="28"/>
          <w:lang w:val="en-US" w:eastAsia="zh-CN" w:bidi="ar-SA"/>
        </w:rPr>
        <w:t>1.商务条款为本次招标项目的实质性要求，不允许有负偏离。</w:t>
      </w: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7"/>
        <w:tblpPr w:leftFromText="180" w:rightFromText="180" w:vertAnchor="text" w:horzAnchor="page" w:tblpX="731" w:tblpY="894"/>
        <w:tblOverlap w:val="never"/>
        <w:tblW w:w="6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8"/>
        <w:gridCol w:w="1055"/>
        <w:gridCol w:w="709"/>
        <w:gridCol w:w="4742"/>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b/>
                <w:bCs/>
                <w:color w:val="000000"/>
                <w:kern w:val="0"/>
                <w:sz w:val="18"/>
                <w:szCs w:val="18"/>
                <w:highlight w:val="none"/>
                <w:lang w:val="en-US" w:eastAsia="zh-CN"/>
              </w:rPr>
              <w:t>1.</w:t>
            </w:r>
            <w:r>
              <w:rPr>
                <w:rFonts w:hint="eastAsia" w:ascii="宋体" w:hAnsi="宋体" w:eastAsia="宋体" w:cs="宋体"/>
                <w:b/>
                <w:bCs/>
                <w:color w:val="000000"/>
                <w:kern w:val="0"/>
                <w:sz w:val="18"/>
                <w:szCs w:val="18"/>
                <w:highlight w:val="none"/>
              </w:rPr>
              <w:t>价格分</w:t>
            </w:r>
            <w:r>
              <w:rPr>
                <w:rFonts w:hint="eastAsia" w:ascii="宋体" w:hAnsi="宋体" w:eastAsia="宋体" w:cs="宋体"/>
                <w:color w:val="000000"/>
                <w:kern w:val="0"/>
                <w:sz w:val="18"/>
                <w:szCs w:val="18"/>
                <w:highlight w:val="none"/>
              </w:rPr>
              <w:t>：</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30</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30。</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lang w:val="en-US" w:eastAsia="zh-CN"/>
              </w:rPr>
              <w:t>如同种产品有</w:t>
            </w:r>
            <w:r>
              <w:rPr>
                <w:rFonts w:hint="eastAsia" w:ascii="宋体" w:hAnsi="宋体" w:eastAsia="宋体" w:cs="宋体"/>
                <w:color w:val="000000"/>
                <w:kern w:val="0"/>
                <w:sz w:val="18"/>
                <w:szCs w:val="18"/>
                <w:highlight w:val="none"/>
              </w:rPr>
              <w:t>多种规格型号</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侧</w:t>
            </w:r>
            <w:r>
              <w:rPr>
                <w:rFonts w:hint="eastAsia" w:ascii="宋体" w:hAnsi="宋体" w:eastAsia="宋体" w:cs="宋体"/>
                <w:color w:val="000000"/>
                <w:kern w:val="0"/>
                <w:sz w:val="18"/>
                <w:szCs w:val="18"/>
                <w:highlight w:val="none"/>
              </w:rPr>
              <w:t>响应单价为报价的平均价。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36</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完全符合磋商文件技术参数要求得</w:t>
            </w:r>
            <w:r>
              <w:rPr>
                <w:rFonts w:hint="eastAsia" w:ascii="宋体" w:hAnsi="宋体" w:eastAsia="宋体" w:cs="宋体"/>
                <w:color w:val="000000"/>
                <w:kern w:val="0"/>
                <w:sz w:val="18"/>
                <w:szCs w:val="18"/>
                <w:highlight w:val="none"/>
                <w:lang w:val="en-US" w:eastAsia="zh-CN"/>
              </w:rPr>
              <w:t>36</w:t>
            </w:r>
            <w:r>
              <w:rPr>
                <w:rFonts w:hint="eastAsia" w:ascii="宋体" w:hAnsi="宋体" w:eastAsia="宋体" w:cs="宋体"/>
                <w:color w:val="000000"/>
                <w:kern w:val="0"/>
                <w:sz w:val="18"/>
                <w:szCs w:val="18"/>
                <w:highlight w:val="none"/>
              </w:rPr>
              <w:t>分。负偏离一项扣</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分，扣完为止。（</w:t>
            </w:r>
            <w:r>
              <w:rPr>
                <w:rFonts w:hint="eastAsia" w:ascii="宋体" w:hAnsi="宋体" w:eastAsia="宋体" w:cs="宋体"/>
                <w:color w:val="000000"/>
                <w:kern w:val="0"/>
                <w:sz w:val="18"/>
                <w:szCs w:val="18"/>
                <w:highlight w:val="none"/>
                <w:lang w:val="en-US" w:eastAsia="zh-CN"/>
              </w:rPr>
              <w:t>技术</w:t>
            </w:r>
            <w:r>
              <w:rPr>
                <w:rFonts w:hint="eastAsia" w:ascii="宋体" w:hAnsi="宋体" w:eastAsia="宋体" w:cs="宋体"/>
                <w:color w:val="000000"/>
                <w:kern w:val="0"/>
                <w:sz w:val="18"/>
                <w:szCs w:val="18"/>
                <w:highlight w:val="none"/>
              </w:rPr>
              <w:t>条款共</w:t>
            </w:r>
            <w:r>
              <w:rPr>
                <w:rFonts w:hint="eastAsia" w:ascii="宋体" w:hAnsi="宋体" w:eastAsia="宋体" w:cs="宋体"/>
                <w:color w:val="000000"/>
                <w:kern w:val="0"/>
                <w:sz w:val="18"/>
                <w:szCs w:val="18"/>
                <w:highlight w:val="none"/>
                <w:lang w:val="en-US" w:eastAsia="zh-CN"/>
              </w:rPr>
              <w:t>12</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w:t>
            </w:r>
            <w:r>
              <w:rPr>
                <w:rFonts w:hint="eastAsia" w:ascii="宋体" w:hAnsi="宋体" w:eastAsia="宋体" w:cs="宋体"/>
                <w:color w:val="000000"/>
                <w:kern w:val="0"/>
                <w:sz w:val="18"/>
                <w:szCs w:val="18"/>
                <w:highlight w:val="none"/>
                <w:lang w:val="en-US" w:eastAsia="zh-CN"/>
              </w:rPr>
              <w:t>投标人</w:t>
            </w:r>
            <w:r>
              <w:rPr>
                <w:rFonts w:hint="eastAsia" w:ascii="宋体" w:hAnsi="宋体" w:eastAsia="宋体" w:cs="宋体"/>
                <w:color w:val="000000"/>
                <w:kern w:val="0"/>
                <w:sz w:val="18"/>
                <w:szCs w:val="18"/>
                <w:highlight w:val="none"/>
              </w:rPr>
              <w:t>2020年1月1日以来国内三甲医疗机构</w:t>
            </w:r>
            <w:r>
              <w:rPr>
                <w:rFonts w:hint="eastAsia" w:ascii="宋体" w:hAnsi="宋体" w:eastAsia="宋体" w:cs="宋体"/>
                <w:color w:val="000000"/>
                <w:kern w:val="0"/>
                <w:sz w:val="18"/>
                <w:szCs w:val="18"/>
                <w:highlight w:val="none"/>
                <w:lang w:val="en-US" w:eastAsia="zh-CN"/>
              </w:rPr>
              <w:t>销售同类产品的</w:t>
            </w:r>
            <w:r>
              <w:rPr>
                <w:rFonts w:hint="eastAsia" w:ascii="宋体" w:hAnsi="宋体" w:eastAsia="宋体" w:cs="宋体"/>
                <w:color w:val="000000"/>
                <w:kern w:val="0"/>
                <w:sz w:val="18"/>
                <w:szCs w:val="18"/>
                <w:highlight w:val="none"/>
              </w:rPr>
              <w:t>业绩证明，每提供1个业绩得</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分，最多得</w:t>
            </w:r>
            <w:r>
              <w:rPr>
                <w:rFonts w:hint="eastAsia" w:ascii="宋体" w:hAnsi="宋体" w:eastAsia="宋体" w:cs="宋体"/>
                <w:color w:val="000000"/>
                <w:kern w:val="0"/>
                <w:sz w:val="18"/>
                <w:szCs w:val="18"/>
                <w:highlight w:val="none"/>
                <w:lang w:val="en-US" w:eastAsia="zh-CN"/>
              </w:rPr>
              <w:t>14</w:t>
            </w:r>
            <w:r>
              <w:rPr>
                <w:rFonts w:hint="eastAsia" w:ascii="宋体" w:hAnsi="宋体" w:eastAsia="宋体" w:cs="宋体"/>
                <w:color w:val="000000"/>
                <w:kern w:val="0"/>
                <w:sz w:val="18"/>
                <w:szCs w:val="18"/>
                <w:highlight w:val="none"/>
              </w:rPr>
              <w:t>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w:t>
            </w:r>
            <w:r>
              <w:rPr>
                <w:rFonts w:hint="eastAsia" w:ascii="宋体" w:hAnsi="宋体" w:eastAsia="宋体" w:cs="宋体"/>
                <w:color w:val="000000"/>
                <w:kern w:val="0"/>
                <w:sz w:val="18"/>
                <w:szCs w:val="18"/>
                <w:highlight w:val="none"/>
                <w:lang w:val="en-US" w:eastAsia="zh-CN"/>
              </w:rPr>
              <w:t>或</w:t>
            </w:r>
            <w:r>
              <w:rPr>
                <w:rFonts w:hint="eastAsia" w:ascii="宋体" w:hAnsi="宋体" w:eastAsia="宋体" w:cs="宋体"/>
                <w:color w:val="000000"/>
                <w:kern w:val="0"/>
                <w:sz w:val="18"/>
                <w:szCs w:val="18"/>
                <w:highlight w:val="none"/>
              </w:rPr>
              <w:t>发票复印件加盖投标人公章。</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注：</w:t>
            </w:r>
            <w:r>
              <w:rPr>
                <w:rFonts w:hint="eastAsia" w:ascii="宋体" w:hAnsi="宋体" w:eastAsia="宋体" w:cs="宋体"/>
                <w:color w:val="000000"/>
                <w:kern w:val="0"/>
                <w:sz w:val="18"/>
                <w:szCs w:val="18"/>
                <w:highlight w:val="none"/>
              </w:rPr>
              <w:t>若发票复印件上无产品明细则需附销货清单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2"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根据响应产品样品，从样品的外观、材质、性能3个方面进行评价，每有1个方面不符合临床需求的扣4分，扣完为止。未提供样品的不得分。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根据供应商提供的售后服务方案，包含：</w:t>
            </w:r>
            <w:r>
              <w:rPr>
                <w:rFonts w:hint="eastAsia" w:ascii="宋体" w:hAnsi="宋体" w:eastAsia="宋体" w:cs="宋体"/>
                <w:color w:val="000000"/>
                <w:kern w:val="0"/>
                <w:sz w:val="18"/>
                <w:szCs w:val="18"/>
              </w:rPr>
              <w:t>【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highlight w:val="none"/>
              </w:rPr>
              <w:t>符合本项目实际情况、有利于项目实施的得</w:t>
            </w:r>
            <w:r>
              <w:rPr>
                <w:rFonts w:hint="eastAsia" w:ascii="宋体" w:hAnsi="宋体" w:eastAsia="宋体" w:cs="宋体"/>
                <w:color w:val="000000"/>
                <w:kern w:val="0"/>
                <w:sz w:val="18"/>
                <w:szCs w:val="18"/>
                <w:highlight w:val="none"/>
                <w:lang w:val="en-US" w:eastAsia="zh-CN"/>
              </w:rPr>
              <w:t>8</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rPr>
              <w:t xml:space="preserve">分，分值扣完为止。 </w:t>
            </w:r>
            <w:r>
              <w:rPr>
                <w:rFonts w:hint="eastAsia" w:ascii="宋体" w:hAnsi="宋体" w:eastAsia="宋体" w:cs="宋体"/>
                <w:color w:val="000000"/>
                <w:kern w:val="0"/>
                <w:sz w:val="18"/>
                <w:szCs w:val="18"/>
                <w:highlight w:val="none"/>
                <w:lang w:val="en-US" w:eastAsia="zh-CN"/>
              </w:rPr>
              <w:t>未提供不得分。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bookmarkStart w:id="1" w:name="_GoBack"/>
      <w:bookmarkEnd w:id="1"/>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8478" w:type="dxa"/>
        <w:jc w:val="center"/>
        <w:tblLayout w:type="autofit"/>
        <w:tblCellMar>
          <w:top w:w="0" w:type="dxa"/>
          <w:left w:w="0" w:type="dxa"/>
          <w:bottom w:w="0" w:type="dxa"/>
          <w:right w:w="0" w:type="dxa"/>
        </w:tblCellMar>
      </w:tblPr>
      <w:tblGrid>
        <w:gridCol w:w="1056"/>
        <w:gridCol w:w="2448"/>
        <w:gridCol w:w="1752"/>
        <w:gridCol w:w="1624"/>
        <w:gridCol w:w="1598"/>
      </w:tblGrid>
      <w:tr>
        <w:tblPrEx>
          <w:tblCellMar>
            <w:top w:w="0" w:type="dxa"/>
            <w:left w:w="0" w:type="dxa"/>
            <w:bottom w:w="0" w:type="dxa"/>
            <w:right w:w="0" w:type="dxa"/>
          </w:tblCellMar>
        </w:tblPrEx>
        <w:trPr>
          <w:trHeight w:val="687" w:hRule="atLeast"/>
          <w:jc w:val="center"/>
        </w:trPr>
        <w:tc>
          <w:tcPr>
            <w:tcW w:w="105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序号</w:t>
            </w:r>
          </w:p>
        </w:tc>
        <w:tc>
          <w:tcPr>
            <w:tcW w:w="24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单位用户名称</w:t>
            </w:r>
          </w:p>
        </w:tc>
        <w:tc>
          <w:tcPr>
            <w:tcW w:w="17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合同时间</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联系人及联系方式</w:t>
            </w:r>
          </w:p>
        </w:tc>
        <w:tc>
          <w:tcPr>
            <w:tcW w:w="1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98"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产品挂网代码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eastAsia"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2"/>
        <w:rPr>
          <w:rFonts w:hint="eastAsia"/>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55B778C"/>
    <w:rsid w:val="067F764F"/>
    <w:rsid w:val="06B11527"/>
    <w:rsid w:val="08D2481D"/>
    <w:rsid w:val="09883DB3"/>
    <w:rsid w:val="09EC7CBF"/>
    <w:rsid w:val="12C40D67"/>
    <w:rsid w:val="14594E75"/>
    <w:rsid w:val="14B40435"/>
    <w:rsid w:val="14DC0F1A"/>
    <w:rsid w:val="15B626DC"/>
    <w:rsid w:val="1A707F41"/>
    <w:rsid w:val="1AF77FAB"/>
    <w:rsid w:val="1B821433"/>
    <w:rsid w:val="1C976D54"/>
    <w:rsid w:val="1D4A752E"/>
    <w:rsid w:val="1DE05766"/>
    <w:rsid w:val="1E997E27"/>
    <w:rsid w:val="20343F20"/>
    <w:rsid w:val="22827069"/>
    <w:rsid w:val="22CD495A"/>
    <w:rsid w:val="24081674"/>
    <w:rsid w:val="2454306B"/>
    <w:rsid w:val="255E2560"/>
    <w:rsid w:val="25933A00"/>
    <w:rsid w:val="294E1E76"/>
    <w:rsid w:val="2A5A6F89"/>
    <w:rsid w:val="2ACE5E86"/>
    <w:rsid w:val="2F561655"/>
    <w:rsid w:val="33875D6B"/>
    <w:rsid w:val="35E40AE0"/>
    <w:rsid w:val="362C60DD"/>
    <w:rsid w:val="371F55C2"/>
    <w:rsid w:val="38B073BC"/>
    <w:rsid w:val="395149AF"/>
    <w:rsid w:val="397F3229"/>
    <w:rsid w:val="3A694155"/>
    <w:rsid w:val="3AE157E3"/>
    <w:rsid w:val="3B9C6D08"/>
    <w:rsid w:val="3C245962"/>
    <w:rsid w:val="3DA970F6"/>
    <w:rsid w:val="3DE462AE"/>
    <w:rsid w:val="43DD0089"/>
    <w:rsid w:val="44670A1E"/>
    <w:rsid w:val="44F24FAA"/>
    <w:rsid w:val="491346CF"/>
    <w:rsid w:val="4F1422EB"/>
    <w:rsid w:val="569E1568"/>
    <w:rsid w:val="57C06FDC"/>
    <w:rsid w:val="58F77A56"/>
    <w:rsid w:val="5C4B0A19"/>
    <w:rsid w:val="61864930"/>
    <w:rsid w:val="63D266D5"/>
    <w:rsid w:val="63FF5919"/>
    <w:rsid w:val="644B796F"/>
    <w:rsid w:val="6A6D2706"/>
    <w:rsid w:val="70641CCB"/>
    <w:rsid w:val="719548CE"/>
    <w:rsid w:val="72C54451"/>
    <w:rsid w:val="734A410E"/>
    <w:rsid w:val="73F965D8"/>
    <w:rsid w:val="78C663ED"/>
    <w:rsid w:val="7A26492C"/>
    <w:rsid w:val="7CFF7097"/>
    <w:rsid w:val="7E21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2023-06-15T02:47:00Z</cp:lastPrinted>
  <dcterms:modified xsi:type="dcterms:W3CDTF">2023-07-27T08:39:59Z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