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儿科层流病房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有座位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浴缸采购要求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一、项目概况</w:t>
      </w:r>
    </w:p>
    <w:p>
      <w:pPr>
        <w:ind w:firstLine="560" w:firstLineChars="200"/>
        <w:jc w:val="both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eastAsia" w:ascii="仿宋_GB2312" w:eastAsia="仿宋_GB2312"/>
          <w:sz w:val="28"/>
          <w:szCs w:val="28"/>
        </w:rPr>
        <w:t>儿科层流病房</w:t>
      </w:r>
      <w:r>
        <w:rPr>
          <w:rFonts w:hint="eastAsia" w:ascii="仿宋_GB2312" w:eastAsia="仿宋_GB2312"/>
          <w:sz w:val="28"/>
          <w:szCs w:val="28"/>
          <w:lang w:eastAsia="zh-CN"/>
        </w:rPr>
        <w:t>有座位</w:t>
      </w:r>
      <w:r>
        <w:rPr>
          <w:rFonts w:hint="eastAsia" w:ascii="仿宋_GB2312" w:eastAsia="仿宋_GB2312"/>
          <w:sz w:val="28"/>
          <w:szCs w:val="28"/>
        </w:rPr>
        <w:t>浴缸采购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天府院区（成都市双流区岐黄二路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1515号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二、参数要求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1.浴缸材质：亚克力</w:t>
      </w:r>
      <w:r>
        <w:rPr>
          <w:rFonts w:ascii="仿宋_GB2312" w:eastAsia="仿宋_GB2312"/>
          <w:sz w:val="28"/>
          <w:szCs w:val="28"/>
        </w:rPr>
        <w:t>材质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有</w:t>
      </w:r>
      <w:r>
        <w:rPr>
          <w:rFonts w:hint="eastAsia" w:ascii="仿宋_GB2312" w:eastAsia="仿宋_GB2312"/>
          <w:sz w:val="28"/>
          <w:szCs w:val="28"/>
          <w:lang w:eastAsia="zh-CN"/>
        </w:rPr>
        <w:t>座位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ascii="仿宋_GB2312" w:eastAsia="仿宋_GB2312"/>
          <w:sz w:val="28"/>
          <w:szCs w:val="28"/>
        </w:rPr>
        <w:t>淋浴</w:t>
      </w:r>
      <w:r>
        <w:rPr>
          <w:rFonts w:hint="eastAsia" w:ascii="仿宋_GB2312" w:eastAsia="仿宋_GB2312"/>
          <w:sz w:val="28"/>
          <w:szCs w:val="28"/>
        </w:rPr>
        <w:t>喷</w:t>
      </w:r>
      <w:r>
        <w:rPr>
          <w:rFonts w:ascii="仿宋_GB2312" w:eastAsia="仿宋_GB2312"/>
          <w:sz w:val="28"/>
          <w:szCs w:val="28"/>
        </w:rPr>
        <w:t>头</w:t>
      </w:r>
      <w:r>
        <w:rPr>
          <w:rFonts w:hint="eastAsia" w:ascii="仿宋_GB2312" w:eastAsia="仿宋_GB2312"/>
          <w:sz w:val="28"/>
          <w:szCs w:val="28"/>
          <w:lang w:eastAsia="zh-CN"/>
        </w:rPr>
        <w:t>：不锈钢材质，</w:t>
      </w:r>
      <w:r>
        <w:rPr>
          <w:rFonts w:ascii="仿宋_GB2312" w:eastAsia="仿宋_GB2312"/>
          <w:sz w:val="28"/>
          <w:szCs w:val="28"/>
        </w:rPr>
        <w:t>可升降</w:t>
      </w:r>
      <w:r>
        <w:rPr>
          <w:rFonts w:hint="eastAsia" w:ascii="仿宋_GB2312" w:eastAsia="仿宋_GB2312"/>
          <w:sz w:val="28"/>
          <w:szCs w:val="28"/>
          <w:lang w:eastAsia="zh-CN"/>
        </w:rPr>
        <w:t>调整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ascii="仿宋_GB2312" w:eastAsia="仿宋_GB2312"/>
          <w:sz w:val="28"/>
          <w:szCs w:val="28"/>
        </w:rPr>
        <w:t>尺寸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ascii="仿宋_GB2312" w:eastAsia="仿宋_GB2312"/>
          <w:sz w:val="28"/>
          <w:szCs w:val="28"/>
        </w:rPr>
        <w:t>长</w:t>
      </w:r>
      <w:r>
        <w:rPr>
          <w:rFonts w:hint="eastAsia" w:ascii="仿宋_GB2312" w:eastAsia="仿宋_GB2312"/>
          <w:sz w:val="28"/>
          <w:szCs w:val="28"/>
          <w:lang w:eastAsia="zh-CN"/>
        </w:rPr>
        <w:t>度大于或等于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30cm</w:t>
      </w:r>
      <w:r>
        <w:rPr>
          <w:rFonts w:hint="eastAsia" w:ascii="仿宋_GB2312" w:eastAsia="仿宋_GB2312"/>
          <w:sz w:val="28"/>
          <w:szCs w:val="28"/>
          <w:lang w:eastAsia="zh-CN"/>
        </w:rPr>
        <w:t>，高度大于或等于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60cm左右，宽度</w:t>
      </w:r>
      <w:r>
        <w:rPr>
          <w:rFonts w:hint="eastAsia" w:ascii="仿宋_GB2312" w:eastAsia="仿宋_GB2312"/>
          <w:sz w:val="28"/>
          <w:szCs w:val="28"/>
          <w:lang w:eastAsia="zh-CN"/>
        </w:rPr>
        <w:t>大于或等于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60cm左右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4.数量：</w:t>
      </w:r>
      <w:r>
        <w:rPr>
          <w:rFonts w:hint="eastAsia" w:ascii="仿宋_GB2312" w:eastAsia="仿宋_GB2312"/>
          <w:sz w:val="28"/>
          <w:szCs w:val="28"/>
        </w:rPr>
        <w:t>1个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5.预算控制价：3500元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三、参考图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2732405" cy="2181860"/>
            <wp:effectExtent l="0" t="0" r="10795" b="8890"/>
            <wp:docPr id="1" name="图片 1" descr="41028ae675453b405bd1be0b8cf1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028ae675453b405bd1be0b8cf1f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hint="eastAsia" w:ascii="仿宋_GB2312" w:hAnsi="黑体" w:eastAsia="仿宋_GB2312" w:cs="仿宋"/>
          <w:color w:val="000000"/>
          <w:sz w:val="28"/>
          <w:szCs w:val="28"/>
        </w:rPr>
      </w:pPr>
    </w:p>
    <w:p>
      <w:pPr>
        <w:pStyle w:val="18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8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、反商业贿赂承诺书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10、无围标、串标行为承诺书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11、</w:t>
      </w:r>
      <w:r>
        <w:rPr>
          <w:rFonts w:hint="eastAsia" w:ascii="仿宋_GB2312" w:eastAsia="仿宋_GB2312"/>
          <w:sz w:val="28"/>
          <w:szCs w:val="28"/>
        </w:rPr>
        <w:t>封底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8"/>
        <w:widowControl/>
        <w:spacing w:line="440" w:lineRule="atLeast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仿宋"/>
          <w:color w:val="000000"/>
          <w:sz w:val="28"/>
          <w:szCs w:val="28"/>
        </w:rPr>
        <w:t>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10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pStyle w:val="8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2"/>
        <w:tabs>
          <w:tab w:val="left" w:pos="540"/>
        </w:tabs>
        <w:ind w:left="720" w:hanging="720"/>
        <w:jc w:val="center"/>
        <w:rPr>
          <w:rFonts w:hint="eastAsia" w:ascii="宋体" w:hAnsi="宋体" w:eastAsia="宋体" w:cs="宋体"/>
          <w:b w:val="0"/>
          <w:lang w:val="zh-CN"/>
        </w:rPr>
      </w:pPr>
      <w:bookmarkStart w:id="0" w:name="_Toc174767233"/>
      <w:bookmarkStart w:id="1" w:name="_Toc237343703"/>
      <w:bookmarkStart w:id="2" w:name="_Toc9529516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2"/>
          <w:u w:val="single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承诺企业名称（公章）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法人代表或委托代理人（承诺人）</w:t>
      </w:r>
      <w:bookmarkStart w:id="3" w:name="_GoBack"/>
      <w:bookmarkEnd w:id="3"/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4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4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4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4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4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4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4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4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4"/>
        <w:adjustRightInd w:val="0"/>
        <w:snapToGrid w:val="0"/>
        <w:spacing w:line="276" w:lineRule="auto"/>
        <w:ind w:firstLine="560" w:firstLineChars="200"/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99F"/>
    <w:rsid w:val="0011542D"/>
    <w:rsid w:val="00134FAB"/>
    <w:rsid w:val="001565BA"/>
    <w:rsid w:val="001F4990"/>
    <w:rsid w:val="002667E0"/>
    <w:rsid w:val="005C5DC8"/>
    <w:rsid w:val="00681591"/>
    <w:rsid w:val="006837BF"/>
    <w:rsid w:val="007C2867"/>
    <w:rsid w:val="00810A96"/>
    <w:rsid w:val="00A502F4"/>
    <w:rsid w:val="00B14FC8"/>
    <w:rsid w:val="00B60A00"/>
    <w:rsid w:val="00E40284"/>
    <w:rsid w:val="00E56405"/>
    <w:rsid w:val="00EE799F"/>
    <w:rsid w:val="00F012E4"/>
    <w:rsid w:val="00F463F6"/>
    <w:rsid w:val="15D43A07"/>
    <w:rsid w:val="2C6F7320"/>
    <w:rsid w:val="317B3427"/>
    <w:rsid w:val="3DBC7492"/>
    <w:rsid w:val="499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5">
    <w:name w:val="Body Text Indent"/>
    <w:basedOn w:val="1"/>
    <w:link w:val="14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6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Body Text First Indent 2"/>
    <w:basedOn w:val="5"/>
    <w:link w:val="15"/>
    <w:qFormat/>
    <w:uiPriority w:val="0"/>
    <w:pPr>
      <w:tabs>
        <w:tab w:val="left" w:pos="2700"/>
      </w:tabs>
      <w:ind w:firstLine="420"/>
    </w:p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正文文本缩进 Char"/>
    <w:basedOn w:val="12"/>
    <w:link w:val="5"/>
    <w:qFormat/>
    <w:uiPriority w:val="0"/>
    <w:rPr>
      <w:rFonts w:ascii="Calibri" w:hAnsi="Calibri"/>
    </w:rPr>
  </w:style>
  <w:style w:type="character" w:customStyle="1" w:styleId="15">
    <w:name w:val="正文首行缩进 2 Char"/>
    <w:basedOn w:val="14"/>
    <w:link w:val="9"/>
    <w:qFormat/>
    <w:uiPriority w:val="0"/>
    <w:rPr>
      <w:rFonts w:ascii="Calibri" w:hAnsi="Calibri"/>
    </w:rPr>
  </w:style>
  <w:style w:type="character" w:customStyle="1" w:styleId="16">
    <w:name w:val="批注文字 Char"/>
    <w:basedOn w:val="12"/>
    <w:link w:val="3"/>
    <w:semiHidden/>
    <w:qFormat/>
    <w:uiPriority w:val="99"/>
    <w:rPr>
      <w:kern w:val="2"/>
      <w:sz w:val="21"/>
      <w:szCs w:val="22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2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4</TotalTime>
  <ScaleCrop>false</ScaleCrop>
  <LinksUpToDate>false</LinksUpToDate>
  <CharactersWithSpaces>255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2023-08-04T03:13:22Z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