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sz w:val="24"/>
          <w:szCs w:val="21"/>
          <w:lang w:val="en-US" w:eastAsia="zh-CN"/>
        </w:rPr>
      </w:pPr>
      <w:r>
        <w:rPr>
          <w:rFonts w:hint="eastAsia" w:ascii="宋体" w:hAnsi="宋体" w:eastAsia="宋体" w:cs="宋体"/>
          <w:b/>
          <w:sz w:val="24"/>
          <w:szCs w:val="21"/>
          <w:lang w:val="en-US" w:eastAsia="zh-CN"/>
        </w:rPr>
        <w:t>附件1：</w:t>
      </w:r>
    </w:p>
    <w:p>
      <w:pPr>
        <w:pStyle w:val="2"/>
        <w:ind w:firstLine="420"/>
        <w:rPr>
          <w:rFonts w:hint="eastAsia" w:ascii="宋体" w:hAnsi="宋体" w:eastAsia="宋体" w:cs="宋体"/>
        </w:rPr>
      </w:pPr>
      <w:r>
        <w:rPr>
          <w:rFonts w:hint="eastAsia" w:ascii="宋体" w:hAnsi="宋体" w:eastAsia="宋体" w:cs="宋体"/>
          <w:b/>
          <w:sz w:val="24"/>
          <w:szCs w:val="21"/>
        </w:rPr>
        <w:t>前提：本章中标注“★”号的条款为本项目的实质性要求，供应商应全部满足，否</w:t>
      </w:r>
      <w:r>
        <w:rPr>
          <w:rFonts w:hint="eastAsia" w:ascii="宋体" w:hAnsi="宋体" w:eastAsia="宋体" w:cs="宋体"/>
          <w:b/>
          <w:sz w:val="24"/>
          <w:szCs w:val="21"/>
          <w:u w:val="none"/>
        </w:rPr>
        <w:t>则</w:t>
      </w:r>
      <w:r>
        <w:rPr>
          <w:rFonts w:hint="eastAsia" w:ascii="宋体" w:hAnsi="宋体" w:eastAsia="宋体" w:cs="宋体"/>
          <w:b/>
          <w:sz w:val="24"/>
          <w:szCs w:val="21"/>
        </w:rPr>
        <w:t>其投标文件作无效处理</w:t>
      </w:r>
      <w:r>
        <w:rPr>
          <w:rFonts w:hint="eastAsia" w:hAnsi="宋体" w:eastAsia="宋体" w:cs="宋体"/>
          <w:b/>
          <w:sz w:val="24"/>
          <w:szCs w:val="21"/>
          <w:lang w:eastAsia="zh-CN"/>
        </w:rPr>
        <w:t>；</w:t>
      </w:r>
      <w:r>
        <w:rPr>
          <w:rFonts w:hint="eastAsia" w:ascii="宋体" w:hAnsi="宋体" w:eastAsia="宋体" w:cs="宋体"/>
          <w:b/>
          <w:color w:val="auto"/>
          <w:sz w:val="24"/>
          <w:highlight w:val="none"/>
        </w:rPr>
        <w:t>“▲”符号的条款为本项目的重要参数条款，未标识符号的条款为一般参数条款</w:t>
      </w:r>
      <w:r>
        <w:rPr>
          <w:rFonts w:hint="eastAsia" w:ascii="宋体" w:hAnsi="宋体" w:eastAsia="宋体" w:cs="宋体"/>
          <w:b/>
          <w:sz w:val="24"/>
          <w:szCs w:val="21"/>
        </w:rPr>
        <w:t>。</w:t>
      </w:r>
    </w:p>
    <w:p>
      <w:pPr>
        <w:pStyle w:val="3"/>
        <w:bidi w:val="0"/>
        <w:jc w:val="center"/>
        <w:rPr>
          <w:rFonts w:hint="eastAsia" w:cs="Times New Roman"/>
          <w:sz w:val="36"/>
          <w:szCs w:val="36"/>
          <w:lang w:val="en-US" w:eastAsia="zh-CN"/>
        </w:rPr>
      </w:pPr>
      <w:r>
        <w:rPr>
          <w:rFonts w:hint="eastAsia" w:cs="Times New Roman"/>
          <w:sz w:val="36"/>
          <w:szCs w:val="36"/>
          <w:lang w:val="en-US" w:eastAsia="zh-CN"/>
        </w:rPr>
        <w:t>儿保测试相关软件</w:t>
      </w:r>
      <w:bookmarkStart w:id="4" w:name="_GoBack"/>
      <w:bookmarkEnd w:id="4"/>
      <w:r>
        <w:rPr>
          <w:rFonts w:hint="eastAsia" w:cs="Times New Roman"/>
          <w:sz w:val="36"/>
          <w:szCs w:val="36"/>
          <w:lang w:val="en-US" w:eastAsia="zh-CN"/>
        </w:rPr>
        <w:t>采购参数</w:t>
      </w:r>
    </w:p>
    <w:p>
      <w:pPr>
        <w:pStyle w:val="20"/>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after="625" w:afterLines="200" w:line="240" w:lineRule="auto"/>
        <w:ind w:left="0" w:firstLine="0" w:firstLineChars="0"/>
        <w:contextualSpacing/>
        <w:textAlignment w:val="auto"/>
        <w:outlineLvl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预算及采购清单</w:t>
      </w:r>
    </w:p>
    <w:p>
      <w:pPr>
        <w:pStyle w:val="20"/>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textAlignment w:val="auto"/>
        <w:outlineLvl w:val="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最高限价：4万</w:t>
      </w:r>
    </w:p>
    <w:p>
      <w:pPr>
        <w:pStyle w:val="20"/>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textAlignment w:val="auto"/>
        <w:outlineLvl w:val="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采购清单</w:t>
      </w:r>
    </w:p>
    <w:tbl>
      <w:tblPr>
        <w:tblStyle w:val="12"/>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09"/>
        <w:gridCol w:w="2937"/>
        <w:gridCol w:w="750"/>
        <w:gridCol w:w="930"/>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4"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包号</w:t>
            </w:r>
          </w:p>
        </w:tc>
        <w:tc>
          <w:tcPr>
            <w:tcW w:w="1109"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2937"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采购清单</w:t>
            </w:r>
          </w:p>
        </w:tc>
        <w:tc>
          <w:tcPr>
            <w:tcW w:w="75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93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1808"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Merge w:val="restart"/>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01</w:t>
            </w:r>
          </w:p>
        </w:tc>
        <w:tc>
          <w:tcPr>
            <w:tcW w:w="1109"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01-1</w:t>
            </w:r>
          </w:p>
        </w:tc>
        <w:tc>
          <w:tcPr>
            <w:tcW w:w="2937"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left"/>
              <w:textAlignment w:val="auto"/>
              <w:rPr>
                <w:rFonts w:hint="default" w:ascii="宋体" w:hAnsi="宋体" w:eastAsia="宋体" w:cs="宋体"/>
                <w:color w:val="000000"/>
                <w:kern w:val="0"/>
                <w:sz w:val="21"/>
                <w:szCs w:val="21"/>
                <w:lang w:val="en-US" w:eastAsia="zh-CN"/>
              </w:rPr>
            </w:pPr>
            <w:r>
              <w:rPr>
                <w:rFonts w:ascii="宋体" w:hAnsi="宋体" w:eastAsia="宋体" w:cs="宋体"/>
                <w:sz w:val="24"/>
                <w:szCs w:val="24"/>
              </w:rPr>
              <w:t>儿保色词测试软件</w:t>
            </w:r>
          </w:p>
        </w:tc>
        <w:tc>
          <w:tcPr>
            <w:tcW w:w="75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93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1808"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Merge w:val="continue"/>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color w:val="000000"/>
                <w:kern w:val="0"/>
                <w:sz w:val="21"/>
                <w:szCs w:val="21"/>
                <w:lang w:val="en-US" w:eastAsia="zh-CN"/>
              </w:rPr>
            </w:pPr>
          </w:p>
        </w:tc>
        <w:tc>
          <w:tcPr>
            <w:tcW w:w="1109"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01-2</w:t>
            </w:r>
          </w:p>
        </w:tc>
        <w:tc>
          <w:tcPr>
            <w:tcW w:w="2937"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left"/>
              <w:textAlignment w:val="auto"/>
              <w:rPr>
                <w:rFonts w:hint="eastAsia" w:ascii="宋体" w:hAnsi="宋体" w:eastAsia="宋体" w:cs="宋体"/>
                <w:color w:val="000000"/>
                <w:kern w:val="0"/>
                <w:sz w:val="21"/>
                <w:szCs w:val="21"/>
                <w:lang w:val="en-US" w:eastAsia="zh-CN"/>
              </w:rPr>
            </w:pPr>
            <w:r>
              <w:rPr>
                <w:rFonts w:ascii="宋体" w:hAnsi="宋体" w:eastAsia="宋体" w:cs="宋体"/>
                <w:sz w:val="24"/>
                <w:szCs w:val="24"/>
              </w:rPr>
              <w:t>儿保卡片分类测验软件</w:t>
            </w:r>
          </w:p>
        </w:tc>
        <w:tc>
          <w:tcPr>
            <w:tcW w:w="75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930"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808" w:type="dxa"/>
            <w:noWrap w:val="0"/>
            <w:vAlign w:val="center"/>
          </w:tcPr>
          <w:p>
            <w:pPr>
              <w:pageBreakBefore w:val="0"/>
              <w:widowControl/>
              <w:kinsoku/>
              <w:wordWrap/>
              <w:overflowPunct/>
              <w:topLinePunct w:val="0"/>
              <w:autoSpaceDE/>
              <w:autoSpaceDN/>
              <w:bidi w:val="0"/>
              <w:adjustRightInd w:val="0"/>
              <w:snapToGrid w:val="0"/>
              <w:spacing w:line="300" w:lineRule="exact"/>
              <w:contextualSpacing/>
              <w:jc w:val="center"/>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3万</w:t>
            </w:r>
          </w:p>
        </w:tc>
      </w:tr>
    </w:tbl>
    <w:p>
      <w:pPr>
        <w:pStyle w:val="20"/>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after="625" w:afterLines="200" w:line="240" w:lineRule="auto"/>
        <w:ind w:left="0" w:firstLine="0" w:firstLineChars="0"/>
        <w:contextualSpacing/>
        <w:textAlignment w:val="auto"/>
        <w:outlineLvl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技术和服务要求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240" w:lineRule="auto"/>
        <w:ind w:leftChars="0"/>
        <w:contextualSpacing/>
        <w:textAlignment w:val="auto"/>
        <w:outlineLvl w:val="0"/>
        <w:rPr>
          <w:rFonts w:hint="eastAsia" w:ascii="宋体" w:hAnsi="宋体" w:eastAsia="宋体" w:cs="宋体"/>
          <w:b/>
          <w:color w:val="000000"/>
          <w:sz w:val="32"/>
          <w:szCs w:val="32"/>
          <w:lang w:val="en-US" w:eastAsia="zh-CN"/>
        </w:rPr>
      </w:pPr>
    </w:p>
    <w:p>
      <w:pPr>
        <w:pStyle w:val="20"/>
        <w:keepNext w:val="0"/>
        <w:keepLines w:val="0"/>
        <w:pageBreakBefore w:val="0"/>
        <w:widowControl w:val="0"/>
        <w:numPr>
          <w:ilvl w:val="0"/>
          <w:numId w:val="3"/>
        </w:numPr>
        <w:kinsoku/>
        <w:wordWrap/>
        <w:overflowPunct/>
        <w:topLinePunct w:val="0"/>
        <w:autoSpaceDE/>
        <w:autoSpaceDN/>
        <w:bidi w:val="0"/>
        <w:adjustRightInd w:val="0"/>
        <w:snapToGrid w:val="0"/>
        <w:spacing w:before="313" w:beforeLines="100" w:after="625" w:afterLines="200" w:line="360" w:lineRule="auto"/>
        <w:ind w:left="425" w:leftChars="0" w:hanging="425" w:firstLineChars="0"/>
        <w:contextualSpacing/>
        <w:textAlignment w:val="auto"/>
        <w:outlineLvl w:val="0"/>
        <w:rPr>
          <w:rFonts w:hint="eastAsia"/>
          <w:b/>
          <w:bCs/>
          <w:sz w:val="21"/>
          <w:szCs w:val="21"/>
          <w:lang w:val="en-US" w:eastAsia="zh-CN"/>
        </w:rPr>
      </w:pPr>
      <w:r>
        <w:rPr>
          <w:rFonts w:hint="eastAsia"/>
          <w:b/>
          <w:bCs/>
          <w:sz w:val="21"/>
          <w:szCs w:val="21"/>
          <w:lang w:val="en-US" w:eastAsia="zh-CN"/>
        </w:rPr>
        <w:t>总体要求</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eastAsia" w:ascii="宋体" w:hAnsi="宋体" w:eastAsia="宋体" w:cs="宋体"/>
          <w:b w:val="0"/>
          <w:bCs/>
          <w:color w:val="000000"/>
          <w:sz w:val="21"/>
          <w:szCs w:val="21"/>
          <w:lang w:val="en-US" w:eastAsia="zh-CN"/>
        </w:rPr>
      </w:pPr>
      <w:r>
        <w:rPr>
          <w:rFonts w:hint="eastAsia" w:ascii="宋体" w:hAnsi="宋体" w:eastAsia="宋体" w:cs="宋体"/>
          <w:b/>
          <w:color w:val="auto"/>
          <w:sz w:val="24"/>
          <w:highlight w:val="none"/>
        </w:rPr>
        <w:t>▲</w:t>
      </w:r>
      <w:r>
        <w:rPr>
          <w:rFonts w:hint="eastAsia"/>
          <w:sz w:val="21"/>
          <w:szCs w:val="21"/>
          <w:lang w:val="en-US" w:eastAsia="zh-CN"/>
        </w:rPr>
        <w:t>系统上线前需提供安全测试报告（漏洞扫描、安全加固、渗透测试报告等）及安全承诺书。</w:t>
      </w:r>
    </w:p>
    <w:p>
      <w:pPr>
        <w:pStyle w:val="20"/>
        <w:keepNext w:val="0"/>
        <w:keepLines w:val="0"/>
        <w:pageBreakBefore w:val="0"/>
        <w:widowControl w:val="0"/>
        <w:numPr>
          <w:ilvl w:val="0"/>
          <w:numId w:val="3"/>
        </w:numPr>
        <w:kinsoku/>
        <w:wordWrap/>
        <w:overflowPunct/>
        <w:topLinePunct w:val="0"/>
        <w:autoSpaceDE/>
        <w:autoSpaceDN/>
        <w:bidi w:val="0"/>
        <w:adjustRightInd w:val="0"/>
        <w:snapToGrid w:val="0"/>
        <w:spacing w:before="313" w:beforeLines="100" w:after="625" w:afterLines="200" w:line="360" w:lineRule="auto"/>
        <w:ind w:left="425" w:leftChars="0" w:hanging="425" w:firstLineChars="0"/>
        <w:contextualSpacing/>
        <w:textAlignment w:val="auto"/>
        <w:outlineLvl w:val="0"/>
        <w:rPr>
          <w:rFonts w:hint="default"/>
          <w:b/>
          <w:bCs/>
          <w:sz w:val="21"/>
          <w:szCs w:val="21"/>
          <w:lang w:val="en-US" w:eastAsia="zh-CN"/>
        </w:rPr>
      </w:pPr>
      <w:r>
        <w:rPr>
          <w:rFonts w:hint="eastAsia"/>
          <w:b/>
          <w:bCs/>
          <w:sz w:val="21"/>
          <w:szCs w:val="21"/>
          <w:lang w:val="en-US" w:eastAsia="zh-CN"/>
        </w:rPr>
        <w:t>儿保色词测试软件技术要求</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eastAsia" w:ascii="宋体" w:hAnsi="宋体" w:cs="宋体"/>
          <w:szCs w:val="21"/>
        </w:rPr>
      </w:pPr>
      <w:r>
        <w:rPr>
          <w:rFonts w:hint="eastAsia" w:ascii="宋体" w:hAnsi="宋体" w:eastAsia="宋体" w:cs="宋体"/>
          <w:b/>
          <w:sz w:val="24"/>
          <w:szCs w:val="21"/>
        </w:rPr>
        <w:t>★</w:t>
      </w:r>
      <w:r>
        <w:rPr>
          <w:rFonts w:hint="eastAsia" w:ascii="宋体" w:hAnsi="宋体" w:cs="宋体"/>
          <w:b/>
          <w:szCs w:val="21"/>
        </w:rPr>
        <w:t>测验</w:t>
      </w:r>
      <w:r>
        <w:rPr>
          <w:rFonts w:hint="eastAsia" w:ascii="宋体" w:hAnsi="宋体" w:cs="宋体"/>
          <w:b/>
          <w:szCs w:val="21"/>
          <w:lang w:val="en-US" w:eastAsia="zh-CN"/>
        </w:rPr>
        <w:t>适用范围</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eastAsia" w:ascii="宋体" w:hAnsi="宋体" w:cs="宋体"/>
          <w:szCs w:val="21"/>
          <w:lang w:eastAsia="zh-CN"/>
        </w:rPr>
      </w:pPr>
      <w:r>
        <w:rPr>
          <w:rFonts w:hint="eastAsia" w:ascii="宋体" w:hAnsi="宋体" w:cs="宋体"/>
          <w:szCs w:val="21"/>
          <w:lang w:val="en-US" w:eastAsia="zh-CN"/>
        </w:rPr>
        <w:t>支持</w:t>
      </w:r>
      <w:r>
        <w:rPr>
          <w:rFonts w:hint="eastAsia" w:ascii="宋体" w:hAnsi="宋体" w:cs="宋体"/>
          <w:szCs w:val="21"/>
        </w:rPr>
        <w:t>评价被试的执行能力，对额叶损害敏感。</w:t>
      </w:r>
      <w:r>
        <w:rPr>
          <w:rFonts w:hint="eastAsia" w:ascii="宋体" w:hAnsi="宋体" w:cs="宋体"/>
          <w:szCs w:val="21"/>
          <w:lang w:eastAsia="zh-CN"/>
        </w:rPr>
        <w:t>测验内容</w:t>
      </w:r>
      <w:r>
        <w:rPr>
          <w:rFonts w:hint="eastAsia" w:ascii="宋体" w:hAnsi="宋体" w:cs="宋体"/>
          <w:szCs w:val="21"/>
          <w:lang w:val="en-US" w:eastAsia="zh-CN"/>
        </w:rPr>
        <w:t>包括但不限于</w:t>
      </w:r>
      <w:r>
        <w:rPr>
          <w:rFonts w:hint="eastAsia" w:ascii="宋体" w:hAnsi="宋体" w:cs="宋体"/>
          <w:szCs w:val="21"/>
          <w:lang w:eastAsia="zh-CN"/>
        </w:rPr>
        <w:t>：</w:t>
      </w:r>
      <w:r>
        <w:rPr>
          <w:rFonts w:hint="eastAsia" w:ascii="宋体" w:hAnsi="宋体" w:cs="宋体"/>
          <w:szCs w:val="21"/>
          <w:lang w:val="en-US" w:eastAsia="zh-CN"/>
        </w:rPr>
        <w:t>①</w:t>
      </w:r>
      <w:r>
        <w:rPr>
          <w:rFonts w:hint="eastAsia" w:ascii="宋体" w:hAnsi="宋体" w:cs="宋体"/>
          <w:szCs w:val="21"/>
          <w:lang w:eastAsia="zh-CN"/>
        </w:rPr>
        <w:t>测试被测者是否能尽量快而正确地读出汉字；</w:t>
      </w:r>
      <w:r>
        <w:rPr>
          <w:rFonts w:hint="eastAsia" w:ascii="宋体" w:hAnsi="宋体" w:cs="宋体"/>
          <w:szCs w:val="21"/>
          <w:lang w:val="en-US" w:eastAsia="zh-CN"/>
        </w:rPr>
        <w:t>②</w:t>
      </w:r>
      <w:r>
        <w:rPr>
          <w:rFonts w:hint="eastAsia" w:ascii="宋体" w:hAnsi="宋体" w:cs="宋体"/>
          <w:szCs w:val="21"/>
          <w:lang w:eastAsia="zh-CN"/>
        </w:rPr>
        <w:t>测试被测者是否能</w:t>
      </w:r>
      <w:r>
        <w:rPr>
          <w:rFonts w:hint="eastAsia" w:ascii="宋体" w:hAnsi="宋体" w:cs="宋体"/>
          <w:szCs w:val="21"/>
          <w:lang w:val="en-US" w:eastAsia="zh-CN"/>
        </w:rPr>
        <w:t>否</w:t>
      </w:r>
      <w:r>
        <w:rPr>
          <w:rFonts w:hint="eastAsia" w:ascii="宋体" w:hAnsi="宋体" w:cs="宋体"/>
          <w:szCs w:val="21"/>
          <w:lang w:eastAsia="zh-CN"/>
        </w:rPr>
        <w:t>尽量快而正确地读出颜色的名称；</w:t>
      </w:r>
      <w:r>
        <w:rPr>
          <w:rFonts w:hint="eastAsia" w:ascii="宋体" w:hAnsi="宋体" w:cs="宋体"/>
          <w:szCs w:val="21"/>
          <w:lang w:val="en-US" w:eastAsia="zh-CN"/>
        </w:rPr>
        <w:t>③</w:t>
      </w:r>
      <w:r>
        <w:rPr>
          <w:rFonts w:hint="eastAsia" w:ascii="宋体" w:hAnsi="宋体" w:cs="宋体"/>
          <w:szCs w:val="21"/>
          <w:lang w:eastAsia="zh-CN"/>
        </w:rPr>
        <w:t>测试被测者是否能尽量快而正确地读出汉字的颜色。</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default" w:ascii="宋体" w:hAnsi="宋体" w:cs="宋体"/>
          <w:szCs w:val="21"/>
          <w:lang w:val="en-US" w:eastAsia="zh-CN"/>
        </w:rPr>
      </w:pPr>
      <w:r>
        <w:rPr>
          <w:rFonts w:hint="eastAsia" w:ascii="宋体" w:hAnsi="宋体" w:eastAsia="宋体" w:cs="宋体"/>
          <w:b/>
          <w:color w:val="auto"/>
          <w:sz w:val="24"/>
          <w:highlight w:val="none"/>
        </w:rPr>
        <w:t>▲</w:t>
      </w:r>
      <w:r>
        <w:rPr>
          <w:rFonts w:hint="eastAsia" w:ascii="宋体" w:hAnsi="宋体" w:cs="宋体"/>
          <w:b w:val="0"/>
          <w:bCs/>
          <w:szCs w:val="21"/>
        </w:rPr>
        <w:t>测评量表智能化管理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eastAsia" w:ascii="宋体" w:hAnsi="宋体" w:cs="宋体"/>
          <w:szCs w:val="21"/>
        </w:rPr>
      </w:pPr>
      <w:r>
        <w:rPr>
          <w:rFonts w:hint="eastAsia" w:ascii="宋体" w:hAnsi="宋体" w:cs="宋体"/>
          <w:szCs w:val="21"/>
        </w:rPr>
        <w:t>所有测评量表</w:t>
      </w:r>
      <w:r>
        <w:rPr>
          <w:rFonts w:hint="eastAsia" w:ascii="宋体" w:hAnsi="宋体" w:cs="宋体"/>
          <w:szCs w:val="21"/>
          <w:lang w:val="en-US" w:eastAsia="zh-CN"/>
        </w:rPr>
        <w:t>需支持</w:t>
      </w:r>
      <w:r>
        <w:rPr>
          <w:rFonts w:hint="eastAsia" w:ascii="宋体" w:hAnsi="宋体" w:cs="宋体"/>
          <w:szCs w:val="21"/>
        </w:rPr>
        <w:t>模块化智能管理。管理员可根据自己的需要自行安装所需的测评量表，并可自主设置量表的属性和分类，每个部门可独立设定量表测评权限。</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default"/>
          <w:sz w:val="21"/>
          <w:szCs w:val="21"/>
          <w:lang w:val="en-US" w:eastAsia="zh-CN"/>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w:t>
      </w:r>
      <w:r>
        <w:rPr>
          <w:rFonts w:hint="eastAsia" w:ascii="宋体" w:hAnsi="宋体" w:cs="宋体"/>
          <w:b w:val="0"/>
          <w:bCs/>
          <w:szCs w:val="21"/>
          <w:lang w:val="en-US" w:eastAsia="zh-CN"/>
        </w:rPr>
        <w:t>支持</w:t>
      </w:r>
      <w:r>
        <w:rPr>
          <w:rFonts w:hint="eastAsia" w:ascii="宋体" w:hAnsi="宋体" w:cs="宋体"/>
          <w:b w:val="0"/>
          <w:bCs/>
          <w:szCs w:val="21"/>
        </w:rPr>
        <w:t>自助注册功能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default"/>
          <w:sz w:val="21"/>
          <w:szCs w:val="21"/>
          <w:lang w:val="en-US" w:eastAsia="zh-CN"/>
        </w:rPr>
      </w:pPr>
      <w:r>
        <w:rPr>
          <w:rFonts w:hint="eastAsia" w:ascii="宋体" w:hAnsi="宋体" w:cs="宋体"/>
          <w:szCs w:val="21"/>
          <w:lang w:val="en-US" w:eastAsia="zh-CN"/>
        </w:rPr>
        <w:t>系统支持</w:t>
      </w:r>
      <w:r>
        <w:rPr>
          <w:rFonts w:hint="eastAsia" w:ascii="宋体" w:hAnsi="宋体" w:cs="宋体"/>
          <w:szCs w:val="21"/>
        </w:rPr>
        <w:t>管理员设置是否开放用户自助注册功能。管理员开启自助注册功能后，系统将允许用户自行填写测评所需的基本信息，完成注册后用户将可根据管理员的预先授权自助完成量表和问卷的测评。</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default"/>
          <w:sz w:val="21"/>
          <w:szCs w:val="21"/>
          <w:lang w:val="en-US" w:eastAsia="zh-CN"/>
        </w:rPr>
      </w:pPr>
      <w:r>
        <w:rPr>
          <w:rFonts w:hint="eastAsia" w:ascii="宋体" w:hAnsi="宋体" w:cs="宋体"/>
          <w:b w:val="0"/>
          <w:bCs/>
          <w:szCs w:val="21"/>
          <w:lang w:val="en-US" w:eastAsia="zh-CN"/>
        </w:rPr>
        <w:t xml:space="preserve"> </w:t>
      </w:r>
      <w:r>
        <w:rPr>
          <w:rFonts w:hint="eastAsia" w:ascii="宋体" w:hAnsi="宋体" w:eastAsia="宋体" w:cs="宋体"/>
          <w:b/>
          <w:color w:val="auto"/>
          <w:sz w:val="24"/>
          <w:highlight w:val="none"/>
        </w:rPr>
        <w:t>▲</w:t>
      </w:r>
      <w:r>
        <w:rPr>
          <w:rFonts w:hint="eastAsia" w:ascii="宋体" w:hAnsi="宋体" w:cs="宋体"/>
          <w:b w:val="0"/>
          <w:bCs/>
          <w:szCs w:val="21"/>
          <w:lang w:val="en-US" w:eastAsia="zh-CN"/>
        </w:rPr>
        <w:t>支持</w:t>
      </w:r>
      <w:r>
        <w:rPr>
          <w:rFonts w:hint="eastAsia" w:ascii="宋体" w:hAnsi="宋体" w:cs="宋体"/>
          <w:b w:val="0"/>
          <w:bCs/>
          <w:szCs w:val="21"/>
        </w:rPr>
        <w:t>测评系统与档案系统二合一</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eastAsia" w:ascii="宋体" w:hAnsi="宋体" w:cs="宋体"/>
          <w:szCs w:val="21"/>
        </w:rPr>
      </w:pPr>
      <w:r>
        <w:rPr>
          <w:rFonts w:hint="eastAsia" w:ascii="宋体" w:hAnsi="宋体" w:cs="宋体"/>
          <w:szCs w:val="21"/>
          <w:lang w:val="en-US" w:eastAsia="zh-CN"/>
        </w:rPr>
        <w:t>支持</w:t>
      </w:r>
      <w:r>
        <w:rPr>
          <w:rFonts w:hint="eastAsia" w:ascii="宋体" w:hAnsi="宋体" w:cs="宋体"/>
          <w:szCs w:val="21"/>
        </w:rPr>
        <w:t>对来访者进行日常心理健康普查和日常心理健康测试外，</w:t>
      </w:r>
      <w:r>
        <w:rPr>
          <w:rFonts w:hint="eastAsia" w:ascii="宋体" w:hAnsi="宋体" w:cs="宋体"/>
          <w:szCs w:val="21"/>
          <w:lang w:val="en-US" w:eastAsia="zh-CN"/>
        </w:rPr>
        <w:t>同时</w:t>
      </w:r>
      <w:r>
        <w:rPr>
          <w:rFonts w:hint="eastAsia" w:ascii="宋体" w:hAnsi="宋体" w:cs="宋体"/>
          <w:szCs w:val="21"/>
        </w:rPr>
        <w:t>整合用户档案管理系统。对于参与测评的用户，系统将自动的对该用户进行同步建档。</w:t>
      </w:r>
      <w:r>
        <w:rPr>
          <w:rFonts w:hint="eastAsia" w:ascii="宋体" w:hAnsi="宋体" w:cs="宋体"/>
          <w:szCs w:val="21"/>
          <w:lang w:val="en-US" w:eastAsia="zh-CN"/>
        </w:rPr>
        <w:t>支持实时</w:t>
      </w:r>
      <w:r>
        <w:rPr>
          <w:rFonts w:hint="eastAsia" w:ascii="宋体" w:hAnsi="宋体" w:cs="宋体"/>
          <w:szCs w:val="21"/>
        </w:rPr>
        <w:t>保存用户的心理测评数据，方便管理员对用户的心理健康状态做横纵向的比较和观察。</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default" w:ascii="宋体" w:hAnsi="宋体" w:cs="宋体"/>
          <w:szCs w:val="21"/>
          <w:lang w:val="en-US" w:eastAsia="zh-CN"/>
        </w:rPr>
      </w:pPr>
      <w:r>
        <w:rPr>
          <w:rFonts w:hint="eastAsia" w:ascii="宋体" w:hAnsi="宋体" w:cs="宋体"/>
          <w:szCs w:val="21"/>
          <w:lang w:val="en-US" w:eastAsia="zh-CN"/>
        </w:rPr>
        <w:t>支持数据备份还原功能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default" w:ascii="宋体" w:hAnsi="宋体" w:cs="宋体"/>
          <w:szCs w:val="21"/>
          <w:lang w:val="en-US" w:eastAsia="zh-CN"/>
        </w:rPr>
      </w:pPr>
      <w:r>
        <w:rPr>
          <w:rFonts w:hint="eastAsia" w:ascii="宋体" w:hAnsi="宋体" w:cs="宋体"/>
          <w:szCs w:val="21"/>
          <w:lang w:val="en-US" w:eastAsia="zh-CN"/>
        </w:rPr>
        <w:t>支持本机数据备份服务，可以将本机测评数据进行一键备份和一键还原。</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eastAsia" w:ascii="宋体" w:hAnsi="宋体" w:cs="宋体"/>
          <w:szCs w:val="21"/>
        </w:rPr>
      </w:pPr>
      <w:r>
        <w:rPr>
          <w:rFonts w:hint="eastAsia" w:ascii="Calibri" w:hAnsi="Calibri" w:eastAsiaTheme="minorEastAsia" w:cstheme="minorBidi"/>
          <w:kern w:val="2"/>
          <w:sz w:val="21"/>
          <w:szCs w:val="21"/>
          <w:lang w:val="en-US" w:eastAsia="zh-CN" w:bidi="ar-SA"/>
        </w:rPr>
        <w:t>服务器端</w:t>
      </w:r>
      <w:r>
        <w:rPr>
          <w:rFonts w:hint="eastAsia" w:cstheme="minorBidi"/>
          <w:kern w:val="2"/>
          <w:sz w:val="21"/>
          <w:szCs w:val="21"/>
          <w:lang w:val="en-US" w:eastAsia="zh-CN" w:bidi="ar-SA"/>
        </w:rPr>
        <w:t>支持</w:t>
      </w:r>
      <w:r>
        <w:rPr>
          <w:rFonts w:hint="eastAsia" w:ascii="Calibri" w:hAnsi="Calibri" w:eastAsiaTheme="minorEastAsia" w:cstheme="minorBidi"/>
          <w:kern w:val="2"/>
          <w:sz w:val="21"/>
          <w:szCs w:val="21"/>
          <w:lang w:val="en-US" w:eastAsia="zh-CN" w:bidi="ar-SA"/>
        </w:rPr>
        <w:t>安装快速</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eastAsia" w:ascii="宋体" w:hAnsi="宋体" w:cs="宋体"/>
          <w:szCs w:val="21"/>
        </w:rPr>
      </w:pPr>
      <w:r>
        <w:rPr>
          <w:rFonts w:hint="eastAsia" w:ascii="宋体" w:hAnsi="宋体" w:cs="宋体"/>
          <w:szCs w:val="21"/>
        </w:rPr>
        <w:t>系统</w:t>
      </w:r>
      <w:r>
        <w:rPr>
          <w:rFonts w:hint="eastAsia" w:ascii="宋体" w:hAnsi="宋体" w:cs="宋体"/>
          <w:szCs w:val="21"/>
          <w:lang w:val="en-US" w:eastAsia="zh-CN"/>
        </w:rPr>
        <w:t>集成数据库、中间件等组建，</w:t>
      </w:r>
      <w:r>
        <w:rPr>
          <w:rFonts w:hint="eastAsia" w:ascii="宋体" w:hAnsi="宋体" w:cs="宋体"/>
          <w:szCs w:val="21"/>
        </w:rPr>
        <w:t>服务器端支持一键快速安装。</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eastAsia" w:ascii="宋体" w:hAnsi="宋体" w:cs="宋体"/>
          <w:szCs w:val="21"/>
        </w:rPr>
      </w:pPr>
      <w:r>
        <w:rPr>
          <w:rFonts w:hint="eastAsia" w:cstheme="minorBidi"/>
          <w:kern w:val="2"/>
          <w:sz w:val="21"/>
          <w:szCs w:val="21"/>
          <w:lang w:val="en-US" w:eastAsia="zh-CN" w:bidi="ar-SA"/>
        </w:rPr>
        <w:t>客户端基于BS架构，支持</w:t>
      </w:r>
      <w:r>
        <w:rPr>
          <w:rFonts w:hint="eastAsia" w:ascii="Calibri" w:hAnsi="Calibri" w:eastAsiaTheme="minorEastAsia" w:cstheme="minorBidi"/>
          <w:kern w:val="2"/>
          <w:sz w:val="21"/>
          <w:szCs w:val="21"/>
          <w:lang w:val="en-US" w:eastAsia="zh-CN" w:bidi="ar-SA"/>
        </w:rPr>
        <w:t>多</w:t>
      </w:r>
      <w:r>
        <w:rPr>
          <w:rFonts w:hint="eastAsia" w:cstheme="minorBidi"/>
          <w:kern w:val="2"/>
          <w:sz w:val="21"/>
          <w:szCs w:val="21"/>
          <w:lang w:val="en-US" w:eastAsia="zh-CN" w:bidi="ar-SA"/>
        </w:rPr>
        <w:t>种</w:t>
      </w:r>
      <w:r>
        <w:rPr>
          <w:rFonts w:hint="eastAsia" w:ascii="Calibri" w:hAnsi="Calibri" w:eastAsiaTheme="minorEastAsia" w:cstheme="minorBidi"/>
          <w:kern w:val="2"/>
          <w:sz w:val="21"/>
          <w:szCs w:val="21"/>
          <w:lang w:val="en-US" w:eastAsia="zh-CN" w:bidi="ar-SA"/>
        </w:rPr>
        <w:t>硬件平台</w:t>
      </w:r>
      <w:r>
        <w:rPr>
          <w:rFonts w:hint="eastAsia" w:cstheme="minorBidi"/>
          <w:kern w:val="2"/>
          <w:sz w:val="21"/>
          <w:szCs w:val="21"/>
          <w:lang w:val="en-US" w:eastAsia="zh-CN" w:bidi="ar-SA"/>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default" w:ascii="宋体" w:hAnsi="宋体" w:cs="宋体" w:eastAsiaTheme="minorEastAsia"/>
          <w:szCs w:val="21"/>
          <w:lang w:val="en-US" w:eastAsia="zh-CN"/>
        </w:rPr>
      </w:pPr>
      <w:r>
        <w:rPr>
          <w:rFonts w:hint="eastAsia" w:ascii="宋体" w:hAnsi="宋体" w:cs="宋体"/>
          <w:szCs w:val="21"/>
          <w:lang w:val="en-US" w:eastAsia="zh-CN"/>
        </w:rPr>
        <w:t>客户端</w:t>
      </w:r>
      <w:r>
        <w:rPr>
          <w:rFonts w:hint="eastAsia" w:ascii="宋体" w:hAnsi="宋体" w:cs="宋体"/>
          <w:szCs w:val="21"/>
        </w:rPr>
        <w:t>可运行于普通台式机、笔记本电脑、平板电脑</w:t>
      </w:r>
      <w:r>
        <w:rPr>
          <w:rFonts w:hint="eastAsia" w:ascii="宋体" w:hAnsi="宋体" w:cs="宋体"/>
          <w:szCs w:val="21"/>
          <w:lang w:eastAsia="zh-CN"/>
        </w:rPr>
        <w:t>、</w:t>
      </w:r>
      <w:r>
        <w:rPr>
          <w:rFonts w:hint="eastAsia" w:ascii="宋体" w:hAnsi="宋体" w:cs="宋体"/>
          <w:szCs w:val="21"/>
        </w:rPr>
        <w:t>触摸互动一体机等硬件平台上；</w:t>
      </w:r>
      <w:r>
        <w:rPr>
          <w:rFonts w:hint="eastAsia" w:ascii="宋体" w:hAnsi="宋体" w:cs="宋体"/>
          <w:szCs w:val="21"/>
          <w:lang w:val="en-US" w:eastAsia="zh-CN"/>
        </w:rPr>
        <w:t>支持</w:t>
      </w:r>
      <w:r>
        <w:rPr>
          <w:rFonts w:hint="eastAsia" w:ascii="宋体" w:hAnsi="宋体" w:cs="宋体"/>
          <w:szCs w:val="21"/>
        </w:rPr>
        <w:t>对接光电阅读机、指纹识别器等硬件设备。</w:t>
      </w:r>
      <w:r>
        <w:rPr>
          <w:rFonts w:hint="eastAsia" w:ascii="宋体" w:hAnsi="宋体" w:cs="宋体"/>
          <w:szCs w:val="21"/>
          <w:lang w:val="en-US" w:eastAsia="zh-CN"/>
        </w:rPr>
        <w:t>客户端基于BS架构，可在浏览器中直接使用。</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default" w:ascii="宋体" w:hAnsi="宋体" w:cs="宋体"/>
          <w:szCs w:val="21"/>
          <w:lang w:val="en-US" w:eastAsia="zh-CN"/>
        </w:rPr>
      </w:pPr>
      <w:r>
        <w:rPr>
          <w:rFonts w:hint="eastAsia" w:ascii="宋体" w:hAnsi="宋体" w:cs="宋体"/>
          <w:szCs w:val="21"/>
          <w:lang w:val="en-US" w:eastAsia="zh-CN"/>
        </w:rPr>
        <w:t>运行模式一键切换功能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contextualSpacing/>
        <w:textAlignment w:val="auto"/>
        <w:outlineLvl w:val="0"/>
        <w:rPr>
          <w:rFonts w:hint="default" w:ascii="宋体" w:hAnsi="宋体" w:cs="宋体"/>
          <w:szCs w:val="21"/>
          <w:lang w:val="en-US" w:eastAsia="zh-CN"/>
        </w:rPr>
      </w:pPr>
      <w:r>
        <w:rPr>
          <w:rFonts w:hint="eastAsia" w:ascii="宋体" w:hAnsi="宋体" w:cs="宋体"/>
          <w:szCs w:val="21"/>
        </w:rPr>
        <w:t>系统支持单机、局域网和互联网</w:t>
      </w:r>
      <w:r>
        <w:rPr>
          <w:rFonts w:hint="eastAsia" w:ascii="宋体" w:hAnsi="宋体" w:cs="宋体"/>
          <w:szCs w:val="21"/>
          <w:lang w:val="en-US" w:eastAsia="zh-CN"/>
        </w:rPr>
        <w:t>等</w:t>
      </w:r>
      <w:r>
        <w:rPr>
          <w:rFonts w:hint="eastAsia" w:ascii="宋体" w:hAnsi="宋体" w:cs="宋体"/>
          <w:szCs w:val="21"/>
        </w:rPr>
        <w:t>运行模式。运行模式</w:t>
      </w:r>
      <w:r>
        <w:rPr>
          <w:rFonts w:hint="eastAsia" w:ascii="宋体" w:hAnsi="宋体" w:cs="宋体"/>
          <w:szCs w:val="21"/>
          <w:lang w:val="en-US" w:eastAsia="zh-CN"/>
        </w:rPr>
        <w:t>支持</w:t>
      </w:r>
      <w:r>
        <w:rPr>
          <w:rFonts w:hint="eastAsia" w:ascii="宋体" w:hAnsi="宋体" w:cs="宋体"/>
          <w:szCs w:val="21"/>
        </w:rPr>
        <w:t>一键式转换。</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default"/>
          <w:sz w:val="21"/>
          <w:szCs w:val="21"/>
          <w:lang w:val="en-US" w:eastAsia="zh-CN"/>
        </w:rPr>
      </w:pPr>
    </w:p>
    <w:p>
      <w:pPr>
        <w:pStyle w:val="20"/>
        <w:keepNext w:val="0"/>
        <w:keepLines w:val="0"/>
        <w:pageBreakBefore w:val="0"/>
        <w:widowControl w:val="0"/>
        <w:numPr>
          <w:ilvl w:val="0"/>
          <w:numId w:val="3"/>
        </w:numPr>
        <w:kinsoku/>
        <w:wordWrap/>
        <w:overflowPunct/>
        <w:topLinePunct w:val="0"/>
        <w:autoSpaceDE/>
        <w:autoSpaceDN/>
        <w:bidi w:val="0"/>
        <w:adjustRightInd w:val="0"/>
        <w:snapToGrid w:val="0"/>
        <w:spacing w:before="313" w:beforeLines="100" w:after="625" w:afterLines="200" w:line="360" w:lineRule="auto"/>
        <w:ind w:left="425" w:leftChars="0" w:hanging="425" w:firstLineChars="0"/>
        <w:contextualSpacing/>
        <w:textAlignment w:val="auto"/>
        <w:outlineLvl w:val="0"/>
        <w:rPr>
          <w:rFonts w:hint="default"/>
          <w:sz w:val="21"/>
          <w:szCs w:val="21"/>
          <w:lang w:val="en-US" w:eastAsia="zh-CN"/>
        </w:rPr>
      </w:pPr>
      <w:r>
        <w:rPr>
          <w:rFonts w:hint="eastAsia"/>
          <w:b/>
          <w:bCs/>
          <w:sz w:val="21"/>
          <w:szCs w:val="21"/>
          <w:lang w:val="en-US" w:eastAsia="zh-CN"/>
        </w:rPr>
        <w:t>儿保卡片分类测验软件技术要求</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default"/>
          <w:sz w:val="21"/>
          <w:szCs w:val="21"/>
          <w:lang w:val="en-US" w:eastAsia="zh-CN"/>
        </w:rPr>
      </w:pPr>
      <w:r>
        <w:rPr>
          <w:rFonts w:hint="eastAsia" w:ascii="宋体" w:hAnsi="宋体" w:eastAsia="宋体" w:cs="宋体"/>
          <w:b/>
          <w:sz w:val="24"/>
          <w:szCs w:val="21"/>
        </w:rPr>
        <w:t>★</w:t>
      </w:r>
      <w:r>
        <w:rPr>
          <w:rFonts w:hint="eastAsia" w:ascii="宋体" w:hAnsi="宋体" w:cs="宋体"/>
          <w:b/>
          <w:szCs w:val="21"/>
        </w:rPr>
        <w:t>测验</w:t>
      </w:r>
      <w:r>
        <w:rPr>
          <w:rFonts w:hint="eastAsia" w:ascii="宋体" w:hAnsi="宋体" w:cs="宋体"/>
          <w:b/>
          <w:szCs w:val="21"/>
          <w:lang w:val="en-US" w:eastAsia="zh-CN"/>
        </w:rPr>
        <w:t>功能及适用范围</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eastAsia" w:ascii="宋体" w:hAnsi="宋体" w:cs="宋体"/>
          <w:bCs/>
          <w:szCs w:val="21"/>
        </w:rPr>
      </w:pPr>
      <w:r>
        <w:rPr>
          <w:rFonts w:hint="eastAsia" w:ascii="宋体" w:hAnsi="宋体" w:cs="宋体"/>
          <w:bCs/>
          <w:szCs w:val="21"/>
          <w:lang w:val="en-US" w:eastAsia="zh-CN"/>
        </w:rPr>
        <w:t>系统需支持</w:t>
      </w:r>
      <w:r>
        <w:rPr>
          <w:rFonts w:hint="eastAsia" w:ascii="宋体" w:hAnsi="宋体" w:cs="宋体"/>
          <w:bCs/>
          <w:szCs w:val="21"/>
        </w:rPr>
        <w:t>单项神经心理测定方法，进行分类、概括、工作记忆和认知转移的能力。反映测试者的认知功能状况，即</w:t>
      </w:r>
      <w:r>
        <w:rPr>
          <w:rFonts w:hint="eastAsia" w:ascii="宋体" w:hAnsi="宋体" w:cs="宋体"/>
          <w:bCs/>
          <w:szCs w:val="21"/>
          <w:lang w:eastAsia="zh-CN"/>
        </w:rPr>
        <w:t>：</w:t>
      </w:r>
      <w:r>
        <w:rPr>
          <w:rFonts w:hint="eastAsia" w:ascii="宋体" w:hAnsi="宋体" w:cs="宋体"/>
          <w:bCs/>
          <w:szCs w:val="21"/>
        </w:rPr>
        <w:t>抽象概括、工作记忆、认知转移、神经心理过程、注意力、信息提取、分类维持、分类转换、刺激再识和加工、感觉输入和运动输出等。</w:t>
      </w:r>
      <w:r>
        <w:rPr>
          <w:rFonts w:hint="eastAsia" w:ascii="宋体" w:hAnsi="宋体" w:cs="宋体"/>
          <w:bCs/>
          <w:szCs w:val="21"/>
        </w:rPr>
        <w:br w:type="textWrapping"/>
      </w:r>
      <w:r>
        <w:rPr>
          <w:rFonts w:hint="eastAsia" w:ascii="宋体" w:hAnsi="宋体" w:cs="宋体"/>
          <w:bCs/>
          <w:szCs w:val="21"/>
        </w:rPr>
        <w:t>适用范围：正常成人、儿童（6岁以上）、精神疾患者、脑损伤者、非色盲者</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eastAsia" w:ascii="宋体" w:hAnsi="宋体" w:eastAsia="宋体" w:cs="宋体"/>
          <w:b/>
          <w:sz w:val="24"/>
          <w:szCs w:val="21"/>
          <w:lang w:val="en-US" w:eastAsia="zh-CN"/>
        </w:rPr>
      </w:pPr>
      <w:r>
        <w:rPr>
          <w:rFonts w:hint="eastAsia" w:ascii="宋体" w:hAnsi="宋体" w:eastAsia="宋体" w:cs="宋体"/>
          <w:b/>
          <w:sz w:val="24"/>
          <w:szCs w:val="21"/>
          <w:lang w:val="en-US" w:eastAsia="zh-CN"/>
        </w:rPr>
        <w:t>支持的测量指标</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0"/>
        <w:contextualSpacing/>
        <w:textAlignment w:val="auto"/>
        <w:outlineLvl w:val="0"/>
        <w:rPr>
          <w:rFonts w:hint="eastAsia" w:ascii="宋体" w:hAnsi="宋体" w:cs="宋体"/>
          <w:bCs/>
          <w:szCs w:val="21"/>
          <w:lang w:val="en-US" w:eastAsia="zh-CN"/>
        </w:rPr>
      </w:pPr>
      <w:r>
        <w:rPr>
          <w:rFonts w:hint="eastAsia" w:ascii="宋体" w:hAnsi="宋体" w:cs="宋体"/>
          <w:bCs/>
          <w:szCs w:val="21"/>
          <w:lang w:val="en-US" w:eastAsia="zh-CN"/>
        </w:rPr>
        <w:t>包括但不限于：</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default" w:ascii="宋体" w:hAnsi="宋体" w:cs="宋体"/>
          <w:bCs/>
          <w:szCs w:val="21"/>
          <w:lang w:val="en-US" w:eastAsia="zh-CN"/>
        </w:rPr>
      </w:pPr>
      <w:r>
        <w:rPr>
          <w:rFonts w:hint="eastAsia" w:ascii="宋体" w:hAnsi="宋体" w:cs="宋体"/>
          <w:bCs/>
          <w:szCs w:val="21"/>
        </w:rPr>
        <w:t>总应答数</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 xml:space="preserve">完成分类数 </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 xml:space="preserve">正确应答数 </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正确应答百分比</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错误应答数</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错误应答百分比</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 xml:space="preserve">持续性应答数 </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持续性应答百分比</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 xml:space="preserve">持续性错误数 </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 xml:space="preserve">持续性错误百分比 </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非持续性错误数</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非持续性错误百分比</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概念化水平</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概念化水平百分比</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完成第一个分类所需应答数</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 xml:space="preserve">不能维持完整分类 </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学习到学会</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总用时</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正确思考时间</w:t>
      </w:r>
    </w:p>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default" w:ascii="宋体" w:hAnsi="宋体" w:cs="宋体"/>
          <w:bCs/>
          <w:szCs w:val="21"/>
          <w:lang w:val="en-US" w:eastAsia="zh-CN"/>
        </w:rPr>
      </w:pPr>
      <w:r>
        <w:rPr>
          <w:rFonts w:hint="eastAsia" w:ascii="宋体" w:hAnsi="宋体" w:cs="宋体"/>
          <w:bCs/>
          <w:szCs w:val="21"/>
        </w:rPr>
        <w:t>错误思考时间</w:t>
      </w:r>
    </w:p>
    <w:p>
      <w:pPr>
        <w:pStyle w:val="20"/>
        <w:keepNext w:val="0"/>
        <w:keepLines w:val="0"/>
        <w:pageBreakBefore w:val="0"/>
        <w:widowControl w:val="0"/>
        <w:numPr>
          <w:ilvl w:val="1"/>
          <w:numId w:val="3"/>
        </w:numPr>
        <w:kinsoku/>
        <w:wordWrap/>
        <w:overflowPunct/>
        <w:topLinePunct w:val="0"/>
        <w:autoSpaceDE/>
        <w:autoSpaceDN/>
        <w:bidi w:val="0"/>
        <w:adjustRightInd w:val="0"/>
        <w:snapToGrid w:val="0"/>
        <w:spacing w:before="313" w:beforeLines="100" w:after="625" w:afterLines="200" w:line="360" w:lineRule="auto"/>
        <w:ind w:left="567" w:leftChars="0" w:hanging="567" w:firstLineChars="0"/>
        <w:contextualSpacing/>
        <w:textAlignment w:val="auto"/>
        <w:outlineLvl w:val="0"/>
        <w:rPr>
          <w:rFonts w:hint="eastAsia" w:ascii="宋体" w:hAnsi="宋体" w:eastAsia="宋体" w:cs="宋体"/>
          <w:b/>
          <w:sz w:val="24"/>
          <w:szCs w:val="21"/>
        </w:rPr>
      </w:pPr>
      <w:r>
        <w:rPr>
          <w:rFonts w:hint="eastAsia" w:ascii="宋体" w:hAnsi="宋体" w:eastAsia="宋体" w:cs="宋体"/>
          <w:b/>
          <w:sz w:val="24"/>
          <w:szCs w:val="21"/>
          <w:lang w:val="en-US" w:eastAsia="zh-CN"/>
        </w:rPr>
        <w:t>输出测验诊断报告</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contextualSpacing/>
        <w:textAlignment w:val="auto"/>
        <w:outlineLvl w:val="0"/>
        <w:rPr>
          <w:rFonts w:hint="eastAsia" w:ascii="宋体" w:hAnsi="宋体" w:cs="宋体"/>
          <w:bCs/>
          <w:szCs w:val="21"/>
        </w:rPr>
      </w:pPr>
      <w:r>
        <w:rPr>
          <w:rFonts w:hint="eastAsia" w:ascii="宋体" w:hAnsi="宋体" w:cs="宋体"/>
          <w:bCs/>
          <w:szCs w:val="21"/>
        </w:rPr>
        <w:t>系统</w:t>
      </w:r>
      <w:r>
        <w:rPr>
          <w:rFonts w:hint="eastAsia" w:ascii="宋体" w:hAnsi="宋体" w:cs="宋体"/>
          <w:bCs/>
          <w:szCs w:val="21"/>
          <w:lang w:val="en-US" w:eastAsia="zh-CN"/>
        </w:rPr>
        <w:t>支持根据</w:t>
      </w:r>
      <w:r>
        <w:rPr>
          <w:rFonts w:hint="eastAsia" w:ascii="宋体" w:hAnsi="宋体" w:cs="宋体"/>
          <w:bCs/>
          <w:szCs w:val="21"/>
        </w:rPr>
        <w:t>测验指标自动进行数据分析，并</w:t>
      </w:r>
      <w:r>
        <w:rPr>
          <w:rFonts w:hint="eastAsia" w:ascii="宋体" w:hAnsi="宋体" w:cs="宋体"/>
          <w:bCs/>
          <w:szCs w:val="21"/>
          <w:lang w:val="en-US" w:eastAsia="zh-CN"/>
        </w:rPr>
        <w:t>输出</w:t>
      </w:r>
      <w:r>
        <w:rPr>
          <w:rFonts w:hint="eastAsia" w:ascii="宋体" w:hAnsi="宋体" w:cs="宋体"/>
          <w:bCs/>
          <w:szCs w:val="21"/>
        </w:rPr>
        <w:t>诊断报告。</w:t>
      </w:r>
      <w:r>
        <w:rPr>
          <w:rFonts w:hint="eastAsia" w:ascii="宋体" w:hAnsi="宋体" w:cs="宋体"/>
          <w:bCs/>
          <w:szCs w:val="21"/>
          <w:lang w:val="en-US" w:eastAsia="zh-CN"/>
        </w:rPr>
        <w:t>报告</w:t>
      </w:r>
      <w:r>
        <w:rPr>
          <w:rFonts w:hint="eastAsia" w:ascii="宋体" w:hAnsi="宋体" w:cs="宋体"/>
          <w:bCs/>
          <w:szCs w:val="21"/>
        </w:rPr>
        <w:t>包括</w:t>
      </w:r>
      <w:r>
        <w:rPr>
          <w:rFonts w:hint="eastAsia" w:ascii="宋体" w:hAnsi="宋体" w:cs="宋体"/>
          <w:bCs/>
          <w:szCs w:val="21"/>
          <w:lang w:val="en-US" w:eastAsia="zh-CN"/>
        </w:rPr>
        <w:t>但不限于如下内容：</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总体认知功能诊断；</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认知转移能力诊断；</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抽象概括能力诊断；</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概念形成能力诊断；</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注意力、洞察力和思维能力诊断；</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rPr>
      </w:pPr>
      <w:r>
        <w:rPr>
          <w:rFonts w:hint="eastAsia" w:ascii="宋体" w:hAnsi="宋体" w:cs="宋体"/>
          <w:bCs/>
          <w:szCs w:val="21"/>
        </w:rPr>
        <w:t>额叶局灶性损害诊断；</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lang w:val="en-US" w:eastAsia="zh-CN"/>
        </w:rPr>
      </w:pPr>
      <w:r>
        <w:rPr>
          <w:rFonts w:hint="eastAsia" w:ascii="宋体" w:hAnsi="宋体" w:cs="宋体"/>
          <w:bCs/>
          <w:szCs w:val="21"/>
        </w:rPr>
        <w:t>脑额叶功能损伤诊断；</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313" w:beforeLines="100" w:after="625" w:afterLines="200" w:line="360" w:lineRule="auto"/>
        <w:ind w:left="0" w:leftChars="0" w:firstLine="420" w:firstLineChars="200"/>
        <w:contextualSpacing/>
        <w:textAlignment w:val="auto"/>
        <w:outlineLvl w:val="0"/>
        <w:rPr>
          <w:rFonts w:hint="eastAsia" w:ascii="宋体" w:hAnsi="宋体" w:cs="宋体"/>
          <w:bCs/>
          <w:szCs w:val="21"/>
          <w:lang w:val="en-US" w:eastAsia="zh-CN"/>
        </w:rPr>
      </w:pPr>
      <w:r>
        <w:rPr>
          <w:rFonts w:hint="eastAsia" w:ascii="宋体" w:hAnsi="宋体" w:cs="宋体"/>
          <w:bCs/>
          <w:szCs w:val="21"/>
          <w:lang w:val="en-US" w:eastAsia="zh-CN"/>
        </w:rPr>
        <w:t>学习能力诊断等。</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625" w:afterLines="200" w:line="360" w:lineRule="auto"/>
        <w:ind w:leftChars="200"/>
        <w:contextualSpacing/>
        <w:textAlignment w:val="auto"/>
        <w:outlineLvl w:val="0"/>
        <w:rPr>
          <w:rFonts w:hint="eastAsia" w:ascii="宋体" w:hAnsi="宋体" w:cs="宋体"/>
          <w:bCs/>
          <w:szCs w:val="21"/>
          <w:lang w:val="en-US" w:eastAsia="zh-CN"/>
        </w:rPr>
      </w:pPr>
    </w:p>
    <w:p>
      <w:pPr>
        <w:pStyle w:val="20"/>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after="313" w:afterLines="100" w:line="240" w:lineRule="auto"/>
        <w:ind w:left="0" w:firstLine="0" w:firstLineChars="0"/>
        <w:contextualSpacing/>
        <w:textAlignment w:val="auto"/>
        <w:outlineLvl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★商务要求</w:t>
      </w:r>
    </w:p>
    <w:p>
      <w:pPr>
        <w:pStyle w:val="5"/>
        <w:keepNext/>
        <w:keepLines/>
        <w:pageBreakBefore w:val="0"/>
        <w:widowControl w:val="0"/>
        <w:numPr>
          <w:ilvl w:val="0"/>
          <w:numId w:val="6"/>
        </w:numPr>
        <w:kinsoku/>
        <w:wordWrap/>
        <w:overflowPunct/>
        <w:topLinePunct w:val="0"/>
        <w:autoSpaceDE/>
        <w:autoSpaceDN/>
        <w:bidi w:val="0"/>
        <w:adjustRightInd w:val="0"/>
        <w:snapToGrid w:val="0"/>
        <w:spacing w:before="0" w:after="0" w:line="312" w:lineRule="auto"/>
        <w:textAlignment w:val="auto"/>
        <w:rPr>
          <w:rFonts w:hint="eastAsia"/>
          <w:b/>
          <w:bCs w:val="0"/>
          <w:sz w:val="24"/>
          <w:szCs w:val="24"/>
        </w:rPr>
      </w:pPr>
      <w:r>
        <w:rPr>
          <w:rFonts w:hint="eastAsia"/>
          <w:b/>
          <w:bCs w:val="0"/>
          <w:sz w:val="24"/>
          <w:szCs w:val="24"/>
        </w:rPr>
        <w:t xml:space="preserve">交货期及地点 </w:t>
      </w:r>
    </w:p>
    <w:p>
      <w:pPr>
        <w:pageBreakBefore w:val="0"/>
        <w:widowControl w:val="0"/>
        <w:numPr>
          <w:ilvl w:val="0"/>
          <w:numId w:val="7"/>
        </w:numPr>
        <w:kinsoku/>
        <w:wordWrap/>
        <w:overflowPunct/>
        <w:topLinePunct w:val="0"/>
        <w:autoSpaceDE/>
        <w:autoSpaceDN/>
        <w:bidi w:val="0"/>
        <w:adjustRightInd w:val="0"/>
        <w:snapToGrid w:val="0"/>
        <w:spacing w:line="312" w:lineRule="auto"/>
        <w:ind w:left="84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交货期：合同签订生效后，</w:t>
      </w:r>
      <w:r>
        <w:rPr>
          <w:rFonts w:hint="eastAsia" w:ascii="宋体" w:hAnsi="宋体" w:eastAsia="宋体" w:cs="宋体"/>
          <w:sz w:val="21"/>
          <w:szCs w:val="21"/>
          <w:lang w:val="en-US" w:eastAsia="zh-CN"/>
        </w:rPr>
        <w:t>9</w:t>
      </w:r>
      <w:r>
        <w:rPr>
          <w:rFonts w:hint="eastAsia" w:ascii="宋体" w:hAnsi="宋体" w:eastAsia="宋体" w:cs="宋体"/>
          <w:sz w:val="21"/>
          <w:szCs w:val="21"/>
        </w:rPr>
        <w:t>0日内</w:t>
      </w:r>
      <w:r>
        <w:rPr>
          <w:rFonts w:hint="eastAsia" w:ascii="宋体" w:hAnsi="宋体" w:eastAsia="宋体" w:cs="宋体"/>
          <w:sz w:val="21"/>
          <w:szCs w:val="21"/>
          <w:lang w:val="en-US" w:eastAsia="zh-CN"/>
        </w:rPr>
        <w:t>完成安装调测，提交采购人验收</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pageBreakBefore w:val="0"/>
        <w:widowControl w:val="0"/>
        <w:numPr>
          <w:ilvl w:val="0"/>
          <w:numId w:val="7"/>
        </w:numPr>
        <w:kinsoku/>
        <w:wordWrap/>
        <w:overflowPunct/>
        <w:topLinePunct w:val="0"/>
        <w:autoSpaceDE/>
        <w:autoSpaceDN/>
        <w:bidi w:val="0"/>
        <w:adjustRightInd w:val="0"/>
        <w:snapToGrid w:val="0"/>
        <w:spacing w:line="312" w:lineRule="auto"/>
        <w:ind w:left="84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交货地点: 四川省妇幼保健院</w:t>
      </w:r>
      <w:r>
        <w:rPr>
          <w:rFonts w:hint="eastAsia" w:ascii="宋体" w:hAnsi="宋体" w:eastAsia="宋体" w:cs="宋体"/>
          <w:sz w:val="21"/>
          <w:szCs w:val="21"/>
          <w:lang w:val="en-US" w:eastAsia="zh-CN"/>
        </w:rPr>
        <w:t>指定地点</w:t>
      </w:r>
      <w:r>
        <w:rPr>
          <w:rFonts w:hint="eastAsia" w:ascii="宋体" w:hAnsi="宋体" w:eastAsia="宋体" w:cs="宋体"/>
          <w:sz w:val="21"/>
          <w:szCs w:val="21"/>
        </w:rPr>
        <w:t xml:space="preserve"> </w:t>
      </w:r>
    </w:p>
    <w:p>
      <w:pPr>
        <w:pStyle w:val="5"/>
        <w:keepNext/>
        <w:keepLines/>
        <w:pageBreakBefore w:val="0"/>
        <w:widowControl w:val="0"/>
        <w:numPr>
          <w:ilvl w:val="0"/>
          <w:numId w:val="6"/>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rPr>
      </w:pPr>
      <w:r>
        <w:rPr>
          <w:rFonts w:hint="eastAsia" w:eastAsia="宋体" w:cs="Times New Roman"/>
          <w:b/>
          <w:bCs w:val="0"/>
          <w:sz w:val="24"/>
          <w:szCs w:val="24"/>
        </w:rPr>
        <w:t>付款方法和条件</w:t>
      </w:r>
    </w:p>
    <w:p>
      <w:pPr>
        <w:pageBreakBefore w:val="0"/>
        <w:widowControl w:val="0"/>
        <w:kinsoku/>
        <w:wordWrap/>
        <w:overflowPunct/>
        <w:topLinePunct w:val="0"/>
        <w:autoSpaceDE/>
        <w:autoSpaceDN/>
        <w:bidi w:val="0"/>
        <w:adjustRightInd w:val="0"/>
        <w:snapToGrid w:val="0"/>
        <w:spacing w:line="312" w:lineRule="auto"/>
        <w:ind w:firstLine="42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验收合格后</w:t>
      </w:r>
      <w:r>
        <w:rPr>
          <w:rFonts w:hint="eastAsia" w:ascii="宋体" w:hAnsi="宋体" w:eastAsia="宋体" w:cs="宋体"/>
          <w:sz w:val="21"/>
          <w:szCs w:val="21"/>
          <w:lang w:val="en-US" w:eastAsia="zh-CN"/>
        </w:rPr>
        <w:t>支付90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质保期结束支付10%。</w:t>
      </w:r>
    </w:p>
    <w:p>
      <w:pPr>
        <w:pStyle w:val="5"/>
        <w:keepNext/>
        <w:keepLines/>
        <w:pageBreakBefore w:val="0"/>
        <w:widowControl w:val="0"/>
        <w:numPr>
          <w:ilvl w:val="0"/>
          <w:numId w:val="6"/>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lang w:val="en-US" w:eastAsia="zh-CN"/>
        </w:rPr>
      </w:pPr>
      <w:r>
        <w:rPr>
          <w:rFonts w:hint="eastAsia" w:eastAsia="宋体" w:cs="Times New Roman"/>
          <w:b/>
          <w:bCs w:val="0"/>
          <w:sz w:val="24"/>
          <w:szCs w:val="24"/>
          <w:lang w:val="en-US" w:eastAsia="zh-CN"/>
        </w:rPr>
        <w:t>质保期</w:t>
      </w:r>
    </w:p>
    <w:p>
      <w:pPr>
        <w:pageBreakBefore w:val="0"/>
        <w:widowControl w:val="0"/>
        <w:kinsoku/>
        <w:wordWrap/>
        <w:overflowPunct/>
        <w:topLinePunct w:val="0"/>
        <w:autoSpaceDE/>
        <w:autoSpaceDN/>
        <w:bidi w:val="0"/>
        <w:adjustRightInd w:val="0"/>
        <w:snapToGrid w:val="0"/>
        <w:spacing w:line="312" w:lineRule="auto"/>
        <w:ind w:firstLine="42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，从</w:t>
      </w:r>
      <w:r>
        <w:rPr>
          <w:rFonts w:hint="eastAsia" w:ascii="宋体" w:hAnsi="宋体" w:eastAsia="宋体" w:cs="宋体"/>
          <w:sz w:val="21"/>
          <w:szCs w:val="21"/>
        </w:rPr>
        <w:t>验收合格日起计算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包括故障处理，技术咨询支持等。</w:t>
      </w:r>
    </w:p>
    <w:p>
      <w:pPr>
        <w:pStyle w:val="5"/>
        <w:keepNext/>
        <w:keepLines/>
        <w:pageBreakBefore w:val="0"/>
        <w:widowControl w:val="0"/>
        <w:numPr>
          <w:ilvl w:val="0"/>
          <w:numId w:val="6"/>
        </w:numPr>
        <w:kinsoku/>
        <w:wordWrap/>
        <w:overflowPunct/>
        <w:topLinePunct w:val="0"/>
        <w:autoSpaceDE/>
        <w:autoSpaceDN/>
        <w:bidi w:val="0"/>
        <w:adjustRightInd w:val="0"/>
        <w:snapToGrid w:val="0"/>
        <w:spacing w:before="0" w:after="0" w:line="312" w:lineRule="auto"/>
        <w:textAlignment w:val="auto"/>
        <w:rPr>
          <w:rFonts w:hint="default" w:eastAsia="宋体" w:cs="Times New Roman"/>
          <w:b/>
          <w:bCs w:val="0"/>
          <w:sz w:val="24"/>
          <w:szCs w:val="24"/>
          <w:lang w:val="en-US" w:eastAsia="zh-CN"/>
        </w:rPr>
      </w:pPr>
      <w:r>
        <w:rPr>
          <w:rFonts w:hint="eastAsia" w:eastAsia="宋体" w:cs="Times New Roman"/>
          <w:b/>
          <w:bCs w:val="0"/>
          <w:sz w:val="24"/>
          <w:szCs w:val="24"/>
          <w:lang w:val="en-US" w:eastAsia="zh-CN"/>
        </w:rPr>
        <w:t>报价要求</w:t>
      </w:r>
    </w:p>
    <w:p>
      <w:pPr>
        <w:pageBreakBefore w:val="0"/>
        <w:widowControl w:val="0"/>
        <w:numPr>
          <w:ilvl w:val="0"/>
          <w:numId w:val="8"/>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本次报价包含完成本项目的所有费用，包含项目调研、咨询服务、方案制定、开发测试、部署实施、税费及对接现有业务系统等费用，采购人不再额外支付任何费用。</w:t>
      </w:r>
    </w:p>
    <w:p>
      <w:pPr>
        <w:pStyle w:val="5"/>
        <w:keepNext/>
        <w:keepLines/>
        <w:pageBreakBefore w:val="0"/>
        <w:widowControl w:val="0"/>
        <w:numPr>
          <w:ilvl w:val="0"/>
          <w:numId w:val="6"/>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lang w:val="en-US" w:eastAsia="zh-CN"/>
        </w:rPr>
      </w:pPr>
      <w:r>
        <w:rPr>
          <w:rFonts w:hint="eastAsia" w:eastAsia="宋体" w:cs="Times New Roman"/>
          <w:b/>
          <w:bCs w:val="0"/>
          <w:sz w:val="24"/>
          <w:szCs w:val="24"/>
          <w:lang w:val="en-US" w:eastAsia="zh-CN"/>
        </w:rPr>
        <w:t>验收标准</w:t>
      </w:r>
    </w:p>
    <w:p>
      <w:pPr>
        <w:pageBreakBefore w:val="0"/>
        <w:widowControl w:val="0"/>
        <w:numPr>
          <w:ilvl w:val="0"/>
          <w:numId w:val="9"/>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中标单位与采购人将严格按照《财政部关于进一步加强政府采购需求和履约验收管理的指导意见》(财库〔2016〕205 号)的要求进行验收。 </w:t>
      </w:r>
    </w:p>
    <w:p>
      <w:pPr>
        <w:pageBreakBefore w:val="0"/>
        <w:widowControl w:val="0"/>
        <w:numPr>
          <w:ilvl w:val="0"/>
          <w:numId w:val="9"/>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以招标文件技术参数及要求、相关国家或行业标准为准。</w:t>
      </w:r>
    </w:p>
    <w:p>
      <w:pPr>
        <w:pStyle w:val="5"/>
        <w:keepNext/>
        <w:keepLines/>
        <w:pageBreakBefore w:val="0"/>
        <w:widowControl w:val="0"/>
        <w:numPr>
          <w:ilvl w:val="0"/>
          <w:numId w:val="6"/>
        </w:numPr>
        <w:kinsoku/>
        <w:wordWrap/>
        <w:overflowPunct/>
        <w:topLinePunct w:val="0"/>
        <w:autoSpaceDE/>
        <w:autoSpaceDN/>
        <w:bidi w:val="0"/>
        <w:adjustRightInd w:val="0"/>
        <w:snapToGrid w:val="0"/>
        <w:spacing w:before="0" w:after="0" w:line="312" w:lineRule="auto"/>
        <w:textAlignment w:val="auto"/>
        <w:rPr>
          <w:rFonts w:hint="eastAsia" w:eastAsia="宋体" w:cs="Times New Roman"/>
          <w:b/>
          <w:bCs w:val="0"/>
          <w:sz w:val="24"/>
          <w:szCs w:val="24"/>
          <w:lang w:val="en-US" w:eastAsia="zh-CN"/>
        </w:rPr>
      </w:pPr>
      <w:r>
        <w:rPr>
          <w:rFonts w:hint="eastAsia" w:eastAsia="宋体" w:cs="Times New Roman"/>
          <w:b/>
          <w:bCs w:val="0"/>
          <w:sz w:val="24"/>
          <w:szCs w:val="24"/>
          <w:lang w:val="en-US" w:eastAsia="zh-CN"/>
        </w:rPr>
        <w:t>其他要求</w:t>
      </w:r>
    </w:p>
    <w:p>
      <w:pPr>
        <w:pageBreakBefore w:val="0"/>
        <w:widowControl w:val="0"/>
        <w:numPr>
          <w:ilvl w:val="0"/>
          <w:numId w:val="10"/>
        </w:numPr>
        <w:kinsoku/>
        <w:wordWrap/>
        <w:overflowPunct/>
        <w:topLinePunct w:val="0"/>
        <w:autoSpaceDE/>
        <w:autoSpaceDN/>
        <w:bidi w:val="0"/>
        <w:adjustRightInd w:val="0"/>
        <w:snapToGrid w:val="0"/>
        <w:spacing w:line="312" w:lineRule="auto"/>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期内，如果因乙方原因造成甲方违反国家卫生行政管理部门或上级相关行政部门的规定被上级部门约谈、通报及处罚等情况发生，甲方有权对乙方进行以下处理：1.要求乙方承担甲方实际损失；2.同时，每发生一次，要求乙方承担成交金额的5%的违约金；情节严重的，每次乙方需承担成交金额的10%的违约金。乙方承担损失金额及违约金都将从合同款中扣除，扣除后不足部分由乙方补足。</w:t>
      </w:r>
    </w:p>
    <w:p>
      <w:pPr>
        <w:pStyle w:val="20"/>
        <w:pageBreakBefore w:val="0"/>
        <w:numPr>
          <w:ilvl w:val="0"/>
          <w:numId w:val="1"/>
        </w:numPr>
        <w:kinsoku/>
        <w:wordWrap/>
        <w:overflowPunct/>
        <w:topLinePunct w:val="0"/>
        <w:autoSpaceDE/>
        <w:autoSpaceDN/>
        <w:bidi w:val="0"/>
        <w:adjustRightInd w:val="0"/>
        <w:snapToGrid w:val="0"/>
        <w:spacing w:before="312" w:beforeLines="100" w:line="240" w:lineRule="auto"/>
        <w:ind w:left="0" w:firstLine="0" w:firstLineChars="0"/>
        <w:contextualSpacing/>
        <w:outlineLvl w:val="0"/>
        <w:rPr>
          <w:rFonts w:ascii="宋体" w:hAnsi="宋体" w:cs="宋体"/>
          <w:sz w:val="28"/>
          <w:szCs w:val="28"/>
        </w:rPr>
      </w:pPr>
      <w:r>
        <w:rPr>
          <w:rFonts w:hint="eastAsia" w:ascii="黑体" w:hAnsi="黑体" w:eastAsia="黑体" w:cs="黑体"/>
          <w:b/>
          <w:color w:val="000000"/>
          <w:sz w:val="32"/>
          <w:szCs w:val="32"/>
        </w:rPr>
        <w:t>综合评分明细表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239"/>
        <w:gridCol w:w="561"/>
        <w:gridCol w:w="5648"/>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bookmarkStart w:id="0" w:name="_Hlk103012460"/>
            <w:r>
              <w:rPr>
                <w:rFonts w:hint="eastAsia" w:ascii="宋体" w:hAnsi="宋体" w:eastAsia="宋体" w:cs="宋体"/>
                <w:kern w:val="0"/>
                <w:sz w:val="24"/>
              </w:rPr>
              <w:t>序号</w:t>
            </w:r>
          </w:p>
        </w:tc>
        <w:tc>
          <w:tcPr>
            <w:tcW w:w="1239" w:type="dxa"/>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评分因素</w:t>
            </w:r>
          </w:p>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及权重</w:t>
            </w:r>
          </w:p>
        </w:tc>
        <w:tc>
          <w:tcPr>
            <w:tcW w:w="561" w:type="dxa"/>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分值</w:t>
            </w:r>
          </w:p>
        </w:tc>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4"/>
              </w:rPr>
            </w:pPr>
            <w:r>
              <w:rPr>
                <w:rFonts w:hint="eastAsia" w:ascii="宋体" w:hAnsi="宋体" w:eastAsia="宋体" w:cs="宋体"/>
                <w:kern w:val="0"/>
                <w:sz w:val="24"/>
              </w:rPr>
              <w:t>评分标准</w:t>
            </w:r>
          </w:p>
        </w:tc>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39"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报价</w:t>
            </w:r>
          </w:p>
        </w:tc>
        <w:tc>
          <w:tcPr>
            <w:tcW w:w="561" w:type="dxa"/>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 xml:space="preserve">满足磋商文件要求且响应价格最低的响应报价为磋商基准价，其价格分为满分。其他供应商的价格分统一按照下列公式计算：磋商报价得分=(磋商基准价／最后磋商报价)* </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0%*100。</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ind w:firstLine="28"/>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39"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技术服务要求</w:t>
            </w:r>
          </w:p>
        </w:tc>
        <w:tc>
          <w:tcPr>
            <w:tcW w:w="561" w:type="dxa"/>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35</w:t>
            </w:r>
            <w:r>
              <w:rPr>
                <w:rFonts w:hint="eastAsia" w:ascii="宋体" w:hAnsi="宋体" w:eastAsia="宋体" w:cs="宋体"/>
                <w:kern w:val="0"/>
                <w:sz w:val="21"/>
                <w:szCs w:val="21"/>
              </w:rPr>
              <w:t>分</w:t>
            </w:r>
          </w:p>
        </w:tc>
        <w:tc>
          <w:tcPr>
            <w:tcW w:w="0" w:type="auto"/>
            <w:noWrap w:val="0"/>
            <w:vAlign w:val="center"/>
          </w:tcPr>
          <w:p>
            <w:pPr>
              <w:pageBreakBefore w:val="0"/>
              <w:numPr>
                <w:ilvl w:val="0"/>
                <w:numId w:val="11"/>
              </w:numPr>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完全符合技术参数要求没有负偏离得</w:t>
            </w:r>
            <w:r>
              <w:rPr>
                <w:rFonts w:hint="eastAsia" w:ascii="宋体" w:hAnsi="宋体" w:eastAsia="宋体" w:cs="宋体"/>
                <w:kern w:val="0"/>
                <w:sz w:val="21"/>
                <w:szCs w:val="21"/>
                <w:lang w:val="en-US" w:eastAsia="zh-CN"/>
              </w:rPr>
              <w:t>35</w:t>
            </w:r>
            <w:r>
              <w:rPr>
                <w:rFonts w:hint="eastAsia" w:ascii="宋体" w:hAnsi="宋体" w:eastAsia="宋体" w:cs="宋体"/>
                <w:kern w:val="0"/>
                <w:sz w:val="21"/>
                <w:szCs w:val="21"/>
              </w:rPr>
              <w:t>分</w:t>
            </w:r>
            <w:r>
              <w:rPr>
                <w:rFonts w:hint="eastAsia" w:ascii="宋体" w:hAnsi="宋体" w:eastAsia="宋体" w:cs="宋体"/>
                <w:kern w:val="0"/>
                <w:sz w:val="21"/>
                <w:szCs w:val="21"/>
                <w:lang w:val="en-US" w:eastAsia="zh-CN"/>
              </w:rPr>
              <w:t>.</w:t>
            </w:r>
          </w:p>
          <w:p>
            <w:pPr>
              <w:pageBreakBefore w:val="0"/>
              <w:numPr>
                <w:ilvl w:val="0"/>
                <w:numId w:val="11"/>
              </w:numPr>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“▲”符号的条款为本项目的重要参数条款，</w:t>
            </w:r>
            <w:r>
              <w:rPr>
                <w:rFonts w:hint="eastAsia" w:ascii="宋体" w:hAnsi="宋体" w:eastAsia="宋体" w:cs="宋体"/>
                <w:kern w:val="0"/>
                <w:sz w:val="21"/>
                <w:szCs w:val="21"/>
                <w:lang w:val="en-US" w:eastAsia="zh-CN"/>
              </w:rPr>
              <w:t>每一条不满足扣5分，扣完为止。</w:t>
            </w:r>
          </w:p>
          <w:p>
            <w:pPr>
              <w:pageBreakBefore w:val="0"/>
              <w:numPr>
                <w:ilvl w:val="0"/>
                <w:numId w:val="11"/>
              </w:numPr>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rPr>
            </w:pPr>
            <w:r>
              <w:rPr>
                <w:rFonts w:hint="eastAsia" w:ascii="宋体" w:hAnsi="宋体" w:eastAsia="宋体" w:cs="宋体"/>
                <w:kern w:val="0"/>
                <w:sz w:val="21"/>
                <w:szCs w:val="21"/>
              </w:rPr>
              <w:t>未标识符号的条款为一般参数条款</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每一套不满足扣2分，扣完为止。</w:t>
            </w:r>
          </w:p>
        </w:tc>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1239" w:type="dxa"/>
            <w:noWrap w:val="0"/>
            <w:vAlign w:val="center"/>
          </w:tcPr>
          <w:p>
            <w:pPr>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售后服务</w:t>
            </w:r>
          </w:p>
        </w:tc>
        <w:tc>
          <w:tcPr>
            <w:tcW w:w="561"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分</w:t>
            </w:r>
          </w:p>
        </w:tc>
        <w:tc>
          <w:tcPr>
            <w:tcW w:w="0" w:type="auto"/>
            <w:noWrap w:val="0"/>
            <w:vAlign w:val="center"/>
          </w:tcPr>
          <w:p>
            <w:pPr>
              <w:pageBreakBefore w:val="0"/>
              <w:numPr>
                <w:ilvl w:val="0"/>
                <w:numId w:val="0"/>
              </w:numPr>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根据供应商提供的针对本项目的实施方案进行综合评审，包含：①售后服务计划（含响应时间和服务方式）；②项目售后人员配置；③培训方案；④使用满意度保障计划；⑤应急方案。</w:t>
            </w:r>
          </w:p>
          <w:p>
            <w:pPr>
              <w:pageBreakBefore w:val="0"/>
              <w:numPr>
                <w:ilvl w:val="0"/>
                <w:numId w:val="0"/>
              </w:numPr>
              <w:kinsoku/>
              <w:wordWrap/>
              <w:overflowPunct/>
              <w:topLinePunct w:val="0"/>
              <w:autoSpaceDE/>
              <w:autoSpaceDN/>
              <w:bidi w:val="0"/>
              <w:adjustRightInd w:val="0"/>
              <w:snapToGrid w:val="0"/>
              <w:spacing w:line="240" w:lineRule="auto"/>
              <w:rPr>
                <w:rFonts w:hint="default"/>
                <w:sz w:val="21"/>
                <w:szCs w:val="21"/>
                <w:lang w:val="en-US"/>
              </w:rPr>
            </w:pPr>
            <w:r>
              <w:rPr>
                <w:rFonts w:hint="eastAsia" w:ascii="宋体" w:hAnsi="宋体" w:eastAsia="宋体" w:cs="宋体"/>
                <w:kern w:val="0"/>
                <w:sz w:val="21"/>
                <w:szCs w:val="21"/>
                <w:lang w:val="en-US" w:eastAsia="zh-CN"/>
              </w:rPr>
              <w:t>上述方案内容完整的得20分；每缺少一项方案内容的扣5分；每有一项方案内容存在缺陷的扣2.5分。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0" w:type="auto"/>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1239"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业绩</w:t>
            </w:r>
          </w:p>
        </w:tc>
        <w:tc>
          <w:tcPr>
            <w:tcW w:w="561" w:type="dxa"/>
            <w:noWrap w:val="0"/>
            <w:vAlign w:val="center"/>
          </w:tcPr>
          <w:p>
            <w:pPr>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sz w:val="21"/>
                <w:szCs w:val="21"/>
              </w:rPr>
            </w:pPr>
            <w:r>
              <w:rPr>
                <w:rFonts w:hint="eastAsia" w:ascii="宋体" w:hAnsi="宋体" w:eastAsia="宋体" w:cs="宋体"/>
                <w:sz w:val="21"/>
                <w:szCs w:val="21"/>
              </w:rPr>
              <w:t>具有</w:t>
            </w:r>
            <w:r>
              <w:rPr>
                <w:rFonts w:hint="eastAsia" w:ascii="宋体" w:hAnsi="宋体" w:eastAsia="宋体" w:cs="宋体"/>
                <w:sz w:val="21"/>
                <w:szCs w:val="21"/>
                <w:lang w:val="en-US" w:eastAsia="zh-CN"/>
              </w:rPr>
              <w:t>2020年1月1日之后</w:t>
            </w:r>
            <w:r>
              <w:rPr>
                <w:rFonts w:hint="eastAsia" w:ascii="宋体" w:hAnsi="宋体" w:eastAsia="宋体" w:cs="宋体"/>
                <w:sz w:val="21"/>
                <w:szCs w:val="21"/>
              </w:rPr>
              <w:t>同类产品</w:t>
            </w:r>
            <w:r>
              <w:rPr>
                <w:rFonts w:hint="eastAsia" w:ascii="宋体" w:hAnsi="宋体" w:eastAsia="宋体" w:cs="宋体"/>
                <w:sz w:val="21"/>
                <w:szCs w:val="21"/>
                <w:lang w:val="en-US" w:eastAsia="zh-CN"/>
              </w:rPr>
              <w:t>在医疗行业的</w:t>
            </w:r>
            <w:r>
              <w:rPr>
                <w:rFonts w:hint="eastAsia" w:ascii="宋体" w:hAnsi="宋体" w:eastAsia="宋体" w:cs="宋体"/>
                <w:sz w:val="21"/>
                <w:szCs w:val="21"/>
              </w:rPr>
              <w:t>业绩，每提供一份合同复印件得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en-US" w:eastAsia="zh-CN" w:bidi="ar-SA"/>
              </w:rPr>
              <w:t>注：需提供合同复印件和中标通知书复印件或验收报告复印件，加盖投标人公章，不提供不得分。</w:t>
            </w:r>
          </w:p>
        </w:tc>
        <w:tc>
          <w:tcPr>
            <w:tcW w:w="0" w:type="auto"/>
            <w:noWrap w:val="0"/>
            <w:vAlign w:val="center"/>
          </w:tcPr>
          <w:p>
            <w:pPr>
              <w:pageBreakBefore w:val="0"/>
              <w:kinsoku/>
              <w:wordWrap/>
              <w:overflowPunct/>
              <w:topLinePunct w:val="0"/>
              <w:autoSpaceDE/>
              <w:autoSpaceDN/>
              <w:bidi w:val="0"/>
              <w:adjustRightInd w:val="0"/>
              <w:snapToGrid w:val="0"/>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r>
      <w:bookmarkEnd w:id="0"/>
    </w:tbl>
    <w:p>
      <w:r>
        <w:br w:type="page"/>
      </w:r>
    </w:p>
    <w:p>
      <w:pPr>
        <w:adjustRightInd w:val="0"/>
        <w:snapToGrid w:val="0"/>
        <w:spacing w:before="156" w:beforeLines="50" w:after="156" w:afterLines="50" w:line="360" w:lineRule="auto"/>
        <w:outlineLvl w:val="0"/>
        <w:rPr>
          <w:rFonts w:hint="default" w:ascii="宋体" w:hAnsi="宋体" w:eastAsia="宋体" w:cs="宋体"/>
          <w:bCs/>
          <w:sz w:val="18"/>
          <w:szCs w:val="18"/>
          <w:lang w:val="en-US" w:eastAsia="zh-CN"/>
        </w:rPr>
      </w:pP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w:t>
      </w:r>
      <w:r>
        <w:rPr>
          <w:rFonts w:hint="eastAsia" w:ascii="宋体" w:hAnsi="宋体" w:eastAsia="宋体" w:cs="宋体"/>
          <w:bCs/>
          <w:color w:val="0070C0"/>
          <w:sz w:val="18"/>
          <w:szCs w:val="18"/>
        </w:rPr>
        <w:t>独立</w:t>
      </w:r>
      <w:r>
        <w:rPr>
          <w:rFonts w:hint="eastAsia" w:ascii="宋体" w:hAnsi="宋体" w:eastAsia="宋体" w:cs="宋体"/>
          <w:bCs/>
          <w:sz w:val="18"/>
          <w:szCs w:val="18"/>
        </w:rPr>
        <w:t>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12"/>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12"/>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12"/>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12"/>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12"/>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3"/>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13"/>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13"/>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13"/>
        </w:numPr>
        <w:tabs>
          <w:tab w:val="left" w:pos="0"/>
        </w:tabs>
        <w:spacing w:line="0" w:lineRule="atLeast"/>
        <w:ind w:left="425" w:leftChars="0" w:hanging="425" w:firstLineChars="0"/>
        <w:rPr>
          <w:rFonts w:hint="eastAsia"/>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13"/>
        </w:numPr>
        <w:tabs>
          <w:tab w:val="left" w:pos="0"/>
        </w:tabs>
        <w:spacing w:line="0" w:lineRule="atLeast"/>
        <w:ind w:left="425" w:leftChars="0" w:hanging="425" w:firstLineChars="0"/>
        <w:rPr>
          <w:rFonts w:hint="eastAsia" w:ascii="宋体" w:hAnsi="宋体" w:eastAsia="宋体" w:cs="宋体"/>
          <w:bCs/>
          <w:color w:val="auto"/>
          <w:sz w:val="18"/>
          <w:szCs w:val="18"/>
          <w:lang w:val="en-US" w:eastAsia="zh-CN"/>
        </w:rPr>
      </w:pPr>
      <w:r>
        <w:rPr>
          <w:rFonts w:hint="eastAsia" w:ascii="宋体" w:hAnsi="宋体" w:cs="宋体"/>
          <w:bCs/>
          <w:sz w:val="18"/>
          <w:szCs w:val="18"/>
          <w:lang w:val="en-US" w:eastAsia="zh-CN"/>
        </w:rPr>
        <w:t>（如有）如果所投产品包含</w:t>
      </w:r>
      <w:r>
        <w:rPr>
          <w:rFonts w:hint="eastAsia" w:ascii="宋体" w:hAnsi="宋体" w:eastAsia="宋体" w:cs="宋体"/>
          <w:bCs/>
          <w:color w:val="auto"/>
          <w:sz w:val="18"/>
          <w:szCs w:val="18"/>
          <w:lang w:val="en-US" w:eastAsia="zh-CN"/>
        </w:rPr>
        <w:t>医疗器械,需提供医疗器械经营许可证或经营备案凭证、医疗器械生产许可证或医疗器械生产备案凭证；  </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（如有）如果所投产品包含</w:t>
      </w:r>
      <w:r>
        <w:rPr>
          <w:rFonts w:hint="eastAsia" w:ascii="宋体" w:hAnsi="宋体" w:eastAsia="宋体" w:cs="宋体"/>
          <w:bCs/>
          <w:color w:val="auto"/>
          <w:sz w:val="18"/>
          <w:szCs w:val="18"/>
          <w:lang w:val="en-US" w:eastAsia="zh-CN"/>
        </w:rPr>
        <w:t>医疗器械，需提供医疗器械产品注册证或医疗器械备案凭证；</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13"/>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13"/>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11"/>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1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11"/>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4"/>
        <w:tabs>
          <w:tab w:val="left" w:pos="540"/>
        </w:tabs>
        <w:ind w:left="720" w:hanging="720"/>
        <w:jc w:val="center"/>
        <w:rPr>
          <w:rFonts w:hint="eastAsia" w:ascii="宋体" w:hAnsi="宋体" w:eastAsia="宋体" w:cs="宋体"/>
          <w:b w:val="0"/>
          <w:lang w:val="zh-CN"/>
        </w:rPr>
      </w:pPr>
      <w:bookmarkStart w:id="1" w:name="_Toc237343703"/>
      <w:bookmarkStart w:id="2" w:name="_Toc174767233"/>
      <w:bookmarkStart w:id="3" w:name="_Toc9529516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14"/>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1"/>
      <w:bookmarkEnd w:id="2"/>
      <w:bookmarkEnd w:id="3"/>
    </w:p>
    <w:p>
      <w:pPr>
        <w:widowControl/>
        <w:shd w:val="clear" w:color="auto" w:fill="FFFFFF"/>
        <w:wordWrap w:val="0"/>
        <w:jc w:val="center"/>
        <w:rPr>
          <w:rFonts w:hint="eastAsia" w:ascii="宋体" w:hAnsi="宋体" w:eastAsia="宋体" w:cs="宋体"/>
          <w:sz w:val="24"/>
        </w:rPr>
      </w:pPr>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16"/>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63356"/>
    <w:multiLevelType w:val="singleLevel"/>
    <w:tmpl w:val="80963356"/>
    <w:lvl w:ilvl="0" w:tentative="0">
      <w:start w:val="1"/>
      <w:numFmt w:val="decimal"/>
      <w:suff w:val="space"/>
      <w:lvlText w:val="%1."/>
      <w:lvlJc w:val="left"/>
    </w:lvl>
  </w:abstractNum>
  <w:abstractNum w:abstractNumId="1">
    <w:nsid w:val="892CAAAB"/>
    <w:multiLevelType w:val="singleLevel"/>
    <w:tmpl w:val="892CAAAB"/>
    <w:lvl w:ilvl="0" w:tentative="0">
      <w:start w:val="1"/>
      <w:numFmt w:val="decimal"/>
      <w:lvlText w:val="(%1)"/>
      <w:lvlJc w:val="left"/>
      <w:pPr>
        <w:ind w:left="425" w:hanging="425"/>
      </w:pPr>
      <w:rPr>
        <w:rFonts w:hint="default"/>
      </w:rPr>
    </w:lvl>
  </w:abstractNum>
  <w:abstractNum w:abstractNumId="2">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C080366A"/>
    <w:multiLevelType w:val="singleLevel"/>
    <w:tmpl w:val="C080366A"/>
    <w:lvl w:ilvl="0" w:tentative="0">
      <w:start w:val="1"/>
      <w:numFmt w:val="decimal"/>
      <w:lvlText w:val="(%1)"/>
      <w:lvlJc w:val="left"/>
      <w:pPr>
        <w:tabs>
          <w:tab w:val="left" w:pos="420"/>
        </w:tabs>
        <w:ind w:left="845" w:hanging="425"/>
      </w:pPr>
      <w:rPr>
        <w:rFonts w:hint="default"/>
      </w:rPr>
    </w:lvl>
  </w:abstractNum>
  <w:abstractNum w:abstractNumId="4">
    <w:nsid w:val="D22F9339"/>
    <w:multiLevelType w:val="singleLevel"/>
    <w:tmpl w:val="D22F9339"/>
    <w:lvl w:ilvl="0" w:tentative="0">
      <w:start w:val="1"/>
      <w:numFmt w:val="decimal"/>
      <w:lvlText w:val="%1."/>
      <w:lvlJc w:val="left"/>
      <w:pPr>
        <w:ind w:left="425" w:hanging="425"/>
      </w:pPr>
      <w:rPr>
        <w:rFonts w:hint="default"/>
      </w:rPr>
    </w:lvl>
  </w:abstractNum>
  <w:abstractNum w:abstractNumId="5">
    <w:nsid w:val="D7213109"/>
    <w:multiLevelType w:val="multilevel"/>
    <w:tmpl w:val="D7213109"/>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DFE25709"/>
    <w:multiLevelType w:val="singleLevel"/>
    <w:tmpl w:val="DFE25709"/>
    <w:lvl w:ilvl="0" w:tentative="0">
      <w:start w:val="1"/>
      <w:numFmt w:val="decimalEnclosedCircleChinese"/>
      <w:suff w:val="nothing"/>
      <w:lvlText w:val="%1　"/>
      <w:lvlJc w:val="left"/>
      <w:pPr>
        <w:ind w:left="0" w:firstLine="400"/>
      </w:pPr>
      <w:rPr>
        <w:rFonts w:hint="eastAsia"/>
      </w:rPr>
    </w:lvl>
  </w:abstractNum>
  <w:abstractNum w:abstractNumId="7">
    <w:nsid w:val="14A4B3A7"/>
    <w:multiLevelType w:val="multilevel"/>
    <w:tmpl w:val="14A4B3A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290E26DD"/>
    <w:multiLevelType w:val="singleLevel"/>
    <w:tmpl w:val="290E26DD"/>
    <w:lvl w:ilvl="0" w:tentative="0">
      <w:start w:val="1"/>
      <w:numFmt w:val="decimal"/>
      <w:lvlText w:val="%1."/>
      <w:lvlJc w:val="left"/>
      <w:pPr>
        <w:tabs>
          <w:tab w:val="left" w:pos="312"/>
        </w:tabs>
      </w:pPr>
    </w:lvl>
  </w:abstractNum>
  <w:abstractNum w:abstractNumId="9">
    <w:nsid w:val="34F55C09"/>
    <w:multiLevelType w:val="singleLevel"/>
    <w:tmpl w:val="34F55C09"/>
    <w:lvl w:ilvl="0" w:tentative="0">
      <w:start w:val="1"/>
      <w:numFmt w:val="decimal"/>
      <w:lvlText w:val="%1."/>
      <w:lvlJc w:val="left"/>
      <w:pPr>
        <w:ind w:left="425" w:hanging="425"/>
      </w:pPr>
      <w:rPr>
        <w:rFonts w:hint="default"/>
      </w:rPr>
    </w:lvl>
  </w:abstractNum>
  <w:abstractNum w:abstractNumId="1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1">
    <w:nsid w:val="3903EB17"/>
    <w:multiLevelType w:val="singleLevel"/>
    <w:tmpl w:val="3903EB17"/>
    <w:lvl w:ilvl="0" w:tentative="0">
      <w:start w:val="1"/>
      <w:numFmt w:val="decimal"/>
      <w:lvlText w:val="(%1)"/>
      <w:lvlJc w:val="left"/>
      <w:pPr>
        <w:ind w:left="425" w:hanging="425"/>
      </w:pPr>
      <w:rPr>
        <w:rFonts w:hint="default"/>
      </w:rPr>
    </w:lvl>
  </w:abstractNum>
  <w:abstractNum w:abstractNumId="12">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559482F4"/>
    <w:multiLevelType w:val="singleLevel"/>
    <w:tmpl w:val="559482F4"/>
    <w:lvl w:ilvl="0" w:tentative="0">
      <w:start w:val="1"/>
      <w:numFmt w:val="chineseCounting"/>
      <w:suff w:val="nothing"/>
      <w:lvlText w:val="%1、"/>
      <w:lvlJc w:val="left"/>
      <w:rPr>
        <w:rFonts w:hint="eastAsia"/>
      </w:rPr>
    </w:lvl>
  </w:abstractNum>
  <w:abstractNum w:abstractNumId="14">
    <w:nsid w:val="55D51A63"/>
    <w:multiLevelType w:val="singleLevel"/>
    <w:tmpl w:val="55D51A63"/>
    <w:lvl w:ilvl="0" w:tentative="0">
      <w:start w:val="1"/>
      <w:numFmt w:val="decimalEnclosedCircleChinese"/>
      <w:suff w:val="nothing"/>
      <w:lvlText w:val="%1　"/>
      <w:lvlJc w:val="left"/>
      <w:pPr>
        <w:ind w:left="0" w:firstLine="400"/>
      </w:pPr>
      <w:rPr>
        <w:rFonts w:hint="eastAsia"/>
      </w:rPr>
    </w:lvl>
  </w:abstractNum>
  <w:abstractNum w:abstractNumId="15">
    <w:nsid w:val="6E684368"/>
    <w:multiLevelType w:val="singleLevel"/>
    <w:tmpl w:val="6E684368"/>
    <w:lvl w:ilvl="0" w:tentative="0">
      <w:start w:val="1"/>
      <w:numFmt w:val="decimal"/>
      <w:lvlText w:val="(%1)"/>
      <w:lvlJc w:val="left"/>
      <w:pPr>
        <w:ind w:left="425" w:hanging="425"/>
      </w:pPr>
      <w:rPr>
        <w:rFonts w:hint="default"/>
      </w:rPr>
    </w:lvl>
  </w:abstractNum>
  <w:num w:numId="1">
    <w:abstractNumId w:val="12"/>
  </w:num>
  <w:num w:numId="2">
    <w:abstractNumId w:val="2"/>
  </w:num>
  <w:num w:numId="3">
    <w:abstractNumId w:val="7"/>
  </w:num>
  <w:num w:numId="4">
    <w:abstractNumId w:val="6"/>
  </w:num>
  <w:num w:numId="5">
    <w:abstractNumId w:val="14"/>
  </w:num>
  <w:num w:numId="6">
    <w:abstractNumId w:val="5"/>
  </w:num>
  <w:num w:numId="7">
    <w:abstractNumId w:val="3"/>
  </w:num>
  <w:num w:numId="8">
    <w:abstractNumId w:val="1"/>
  </w:num>
  <w:num w:numId="9">
    <w:abstractNumId w:val="11"/>
  </w:num>
  <w:num w:numId="10">
    <w:abstractNumId w:val="15"/>
  </w:num>
  <w:num w:numId="11">
    <w:abstractNumId w:val="0"/>
  </w:num>
  <w:num w:numId="12">
    <w:abstractNumId w:val="4"/>
  </w:num>
  <w:num w:numId="13">
    <w:abstractNumId w:val="9"/>
  </w:num>
  <w:num w:numId="14">
    <w:abstractNumId w:val="1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501F8"/>
    <w:rsid w:val="00012A71"/>
    <w:rsid w:val="00033A61"/>
    <w:rsid w:val="00033AFC"/>
    <w:rsid w:val="00181E58"/>
    <w:rsid w:val="001B2F0F"/>
    <w:rsid w:val="001E3023"/>
    <w:rsid w:val="00202F85"/>
    <w:rsid w:val="00225ECC"/>
    <w:rsid w:val="002501F8"/>
    <w:rsid w:val="00256608"/>
    <w:rsid w:val="002C13DC"/>
    <w:rsid w:val="002C2EBD"/>
    <w:rsid w:val="002C324C"/>
    <w:rsid w:val="00347F4A"/>
    <w:rsid w:val="003A1B34"/>
    <w:rsid w:val="003A2702"/>
    <w:rsid w:val="003F286B"/>
    <w:rsid w:val="00454C44"/>
    <w:rsid w:val="0049470D"/>
    <w:rsid w:val="00501F51"/>
    <w:rsid w:val="0052412B"/>
    <w:rsid w:val="005312E6"/>
    <w:rsid w:val="00570B50"/>
    <w:rsid w:val="005B01E2"/>
    <w:rsid w:val="00613935"/>
    <w:rsid w:val="006350E3"/>
    <w:rsid w:val="00724B80"/>
    <w:rsid w:val="00785F4B"/>
    <w:rsid w:val="007B6192"/>
    <w:rsid w:val="007F3122"/>
    <w:rsid w:val="008905A1"/>
    <w:rsid w:val="008A299A"/>
    <w:rsid w:val="008F6E82"/>
    <w:rsid w:val="00914E2D"/>
    <w:rsid w:val="009277C4"/>
    <w:rsid w:val="00991D89"/>
    <w:rsid w:val="00994029"/>
    <w:rsid w:val="009E122E"/>
    <w:rsid w:val="00A35DEE"/>
    <w:rsid w:val="00A90EFD"/>
    <w:rsid w:val="00A91904"/>
    <w:rsid w:val="00AB47EF"/>
    <w:rsid w:val="00AD1221"/>
    <w:rsid w:val="00B148E6"/>
    <w:rsid w:val="00B1491C"/>
    <w:rsid w:val="00BB64E5"/>
    <w:rsid w:val="00C33E4E"/>
    <w:rsid w:val="00C410ED"/>
    <w:rsid w:val="00C84F8F"/>
    <w:rsid w:val="00CE4A62"/>
    <w:rsid w:val="00D13910"/>
    <w:rsid w:val="00D77302"/>
    <w:rsid w:val="00D94794"/>
    <w:rsid w:val="00DD4C07"/>
    <w:rsid w:val="00E77665"/>
    <w:rsid w:val="00EB2DD3"/>
    <w:rsid w:val="00EC3652"/>
    <w:rsid w:val="00F53D0C"/>
    <w:rsid w:val="00F543F5"/>
    <w:rsid w:val="00F76A75"/>
    <w:rsid w:val="011053CB"/>
    <w:rsid w:val="020D0CBC"/>
    <w:rsid w:val="02241739"/>
    <w:rsid w:val="0423435A"/>
    <w:rsid w:val="05941906"/>
    <w:rsid w:val="0B7010E6"/>
    <w:rsid w:val="0DED6FC6"/>
    <w:rsid w:val="0EB41C72"/>
    <w:rsid w:val="0EBB0039"/>
    <w:rsid w:val="0FD57709"/>
    <w:rsid w:val="14203AFC"/>
    <w:rsid w:val="15682544"/>
    <w:rsid w:val="18974964"/>
    <w:rsid w:val="19476D06"/>
    <w:rsid w:val="1A160749"/>
    <w:rsid w:val="20063EF1"/>
    <w:rsid w:val="21130330"/>
    <w:rsid w:val="21A7743C"/>
    <w:rsid w:val="21B538C6"/>
    <w:rsid w:val="238272F0"/>
    <w:rsid w:val="24A84D73"/>
    <w:rsid w:val="269A4CC1"/>
    <w:rsid w:val="281C3516"/>
    <w:rsid w:val="2F7D661C"/>
    <w:rsid w:val="31AB491E"/>
    <w:rsid w:val="346A57C5"/>
    <w:rsid w:val="38417ADA"/>
    <w:rsid w:val="38D058A2"/>
    <w:rsid w:val="3B3548AF"/>
    <w:rsid w:val="3E5022C8"/>
    <w:rsid w:val="3E5B60DB"/>
    <w:rsid w:val="3FAE7463"/>
    <w:rsid w:val="410445B6"/>
    <w:rsid w:val="4105229D"/>
    <w:rsid w:val="42615A69"/>
    <w:rsid w:val="44216EB8"/>
    <w:rsid w:val="471A2B34"/>
    <w:rsid w:val="47840CC5"/>
    <w:rsid w:val="47921936"/>
    <w:rsid w:val="486673FA"/>
    <w:rsid w:val="4A1A7F13"/>
    <w:rsid w:val="4A355E63"/>
    <w:rsid w:val="4B3B2264"/>
    <w:rsid w:val="4B5B6BAD"/>
    <w:rsid w:val="4DA015FF"/>
    <w:rsid w:val="4F3A65DA"/>
    <w:rsid w:val="520E51A1"/>
    <w:rsid w:val="54696DF0"/>
    <w:rsid w:val="561B30EA"/>
    <w:rsid w:val="56C51632"/>
    <w:rsid w:val="5AE57704"/>
    <w:rsid w:val="5FDE4AC6"/>
    <w:rsid w:val="60F7591A"/>
    <w:rsid w:val="624F1AEE"/>
    <w:rsid w:val="65B57092"/>
    <w:rsid w:val="66346749"/>
    <w:rsid w:val="6874018D"/>
    <w:rsid w:val="6B6741A2"/>
    <w:rsid w:val="70037A66"/>
    <w:rsid w:val="739A7A4B"/>
    <w:rsid w:val="74365CEE"/>
    <w:rsid w:val="757B3867"/>
    <w:rsid w:val="75836A21"/>
    <w:rsid w:val="7A057C51"/>
    <w:rsid w:val="7A0A01D7"/>
    <w:rsid w:val="7EA0293B"/>
    <w:rsid w:val="7F6A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360" w:lineRule="auto"/>
      <w:jc w:val="left"/>
      <w:textAlignment w:val="baseline"/>
    </w:pPr>
    <w:rPr>
      <w:rFonts w:ascii="宋体"/>
      <w:sz w:val="21"/>
    </w:rPr>
  </w:style>
  <w:style w:type="paragraph" w:styleId="6">
    <w:name w:val="annotation text"/>
    <w:basedOn w:val="1"/>
    <w:semiHidden/>
    <w:unhideWhenUsed/>
    <w:qFormat/>
    <w:uiPriority w:val="99"/>
    <w:pPr>
      <w:jc w:val="left"/>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unhideWhenUsed/>
    <w:qFormat/>
    <w:uiPriority w:val="99"/>
    <w:pPr>
      <w:ind w:firstLine="420" w:firstLineChars="100"/>
    </w:p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font21"/>
    <w:basedOn w:val="13"/>
    <w:qFormat/>
    <w:uiPriority w:val="0"/>
    <w:rPr>
      <w:rFonts w:hint="eastAsia" w:ascii="宋体" w:hAnsi="宋体" w:eastAsia="宋体" w:cs="宋体"/>
      <w:color w:val="FF0000"/>
      <w:sz w:val="22"/>
      <w:szCs w:val="22"/>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表格文字"/>
    <w:basedOn w:val="1"/>
    <w:next w:val="2"/>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915</Words>
  <Characters>5216</Characters>
  <Lines>43</Lines>
  <Paragraphs>12</Paragraphs>
  <TotalTime>2</TotalTime>
  <ScaleCrop>false</ScaleCrop>
  <LinksUpToDate>false</LinksUpToDate>
  <CharactersWithSpaces>6119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2021-04-29T03:48:00Z</dcterms:created>
  <dc:creator>SST13632245009@outlook.com</dc:creator>
  <cp:lastModifiedBy>胡瑞</cp:lastModifiedBy>
  <cp:lastPrinted>2023-06-12T08:14:00Z</cp:lastPrinted>
  <dcterms:modified xsi:type="dcterms:W3CDTF">2023-09-11T09:31:23Z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2835F2B7D3374EF0AC0484073D618DAD</vt:lpwstr>
  </property>
</Properties>
</file>