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327E" w14:textId="77777777" w:rsidR="00277C96" w:rsidRDefault="00000000">
      <w:pPr>
        <w:pStyle w:val="2"/>
        <w:jc w:val="left"/>
        <w:rPr>
          <w:rFonts w:ascii="楷体" w:eastAsia="楷体" w:hAnsi="楷体"/>
          <w:sz w:val="44"/>
          <w:szCs w:val="44"/>
        </w:rPr>
      </w:pPr>
      <w:r>
        <w:rPr>
          <w:rFonts w:ascii="微软雅黑" w:eastAsia="微软雅黑" w:hAnsi="微软雅黑" w:hint="eastAsia"/>
          <w:b w:val="0"/>
          <w:color w:val="000000"/>
          <w:sz w:val="28"/>
          <w:szCs w:val="21"/>
        </w:rPr>
        <w:t>附件1：</w:t>
      </w:r>
    </w:p>
    <w:p w14:paraId="1404FD98" w14:textId="77777777" w:rsidR="00277C96" w:rsidRDefault="00000000">
      <w:pPr>
        <w:ind w:firstLineChars="200" w:firstLine="880"/>
        <w:rPr>
          <w:rFonts w:ascii="楷体" w:eastAsia="楷体" w:hAnsi="楷体"/>
          <w:sz w:val="44"/>
          <w:szCs w:val="44"/>
        </w:rPr>
      </w:pPr>
      <w:r>
        <w:rPr>
          <w:rFonts w:ascii="楷体" w:eastAsia="楷体" w:hAnsi="楷体" w:hint="eastAsia"/>
          <w:sz w:val="44"/>
          <w:szCs w:val="44"/>
        </w:rPr>
        <w:t>孤独症谱系障碍诊断观察量表第二版</w:t>
      </w:r>
    </w:p>
    <w:p w14:paraId="1E816066" w14:textId="77777777" w:rsidR="00277C96" w:rsidRDefault="00000000">
      <w:pPr>
        <w:rPr>
          <w:rFonts w:ascii="楷体" w:eastAsia="楷体" w:hAnsi="楷体"/>
          <w:sz w:val="44"/>
          <w:szCs w:val="44"/>
        </w:rPr>
      </w:pPr>
      <w:r>
        <w:rPr>
          <w:rFonts w:ascii="楷体" w:eastAsia="楷体" w:hAnsi="楷体" w:hint="eastAsia"/>
          <w:sz w:val="44"/>
          <w:szCs w:val="44"/>
        </w:rPr>
        <w:t>说明：</w:t>
      </w:r>
    </w:p>
    <w:p w14:paraId="645BFB06" w14:textId="77777777" w:rsidR="00277C96" w:rsidRDefault="00000000">
      <w:pPr>
        <w:pStyle w:val="a0"/>
        <w:spacing w:after="0" w:line="500" w:lineRule="exact"/>
        <w:jc w:val="left"/>
        <w:rPr>
          <w:rFonts w:ascii="宋体" w:hAnsi="宋体" w:cs="宋体"/>
          <w:b/>
          <w:sz w:val="24"/>
          <w:szCs w:val="32"/>
        </w:rPr>
      </w:pPr>
      <w:r>
        <w:rPr>
          <w:rFonts w:ascii="宋体" w:hAnsi="宋体" w:cs="宋体" w:hint="eastAsia"/>
          <w:b/>
          <w:sz w:val="24"/>
          <w:szCs w:val="21"/>
        </w:rPr>
        <w:t>本文中标注“★”号的条款为本项目的实质性要求，供应商应全部满足，否则其投标文件作无效处理。</w:t>
      </w:r>
    </w:p>
    <w:p w14:paraId="37BA0A71" w14:textId="77777777" w:rsidR="00277C96" w:rsidRDefault="00277C96"/>
    <w:p w14:paraId="772F7527" w14:textId="77777777" w:rsidR="00277C96" w:rsidRDefault="00000000">
      <w:pPr>
        <w:pStyle w:val="ab"/>
        <w:numPr>
          <w:ilvl w:val="0"/>
          <w:numId w:val="1"/>
        </w:numPr>
        <w:adjustRightInd w:val="0"/>
        <w:spacing w:beforeLines="50" w:before="156" w:afterLines="50" w:after="156" w:line="300" w:lineRule="exact"/>
        <w:ind w:left="0" w:firstLineChars="0" w:firstLine="0"/>
        <w:contextualSpacing/>
        <w:outlineLvl w:val="0"/>
        <w:rPr>
          <w:rFonts w:ascii="黑体" w:eastAsia="黑体" w:hAnsi="黑体" w:cs="黑体"/>
          <w:b/>
          <w:color w:val="000000"/>
          <w:sz w:val="32"/>
          <w:szCs w:val="32"/>
        </w:rPr>
      </w:pPr>
      <w:r>
        <w:rPr>
          <w:rFonts w:ascii="黑体" w:eastAsia="黑体" w:hAnsi="黑体" w:cs="黑体" w:hint="eastAsia"/>
          <w:b/>
          <w:color w:val="000000"/>
          <w:sz w:val="32"/>
          <w:szCs w:val="32"/>
        </w:rPr>
        <w:t>预算及采购货物清单</w:t>
      </w:r>
    </w:p>
    <w:p w14:paraId="72AE4CC8" w14:textId="77777777" w:rsidR="00277C96" w:rsidRDefault="00277C96">
      <w:pPr>
        <w:pStyle w:val="ab"/>
        <w:adjustRightInd w:val="0"/>
        <w:spacing w:beforeLines="50" w:before="156" w:afterLines="50" w:after="156" w:line="300" w:lineRule="exact"/>
        <w:ind w:firstLineChars="0" w:firstLine="0"/>
        <w:contextualSpacing/>
        <w:outlineLvl w:val="0"/>
        <w:rPr>
          <w:rFonts w:ascii="黑体" w:eastAsia="黑体" w:hAnsi="黑体" w:cs="黑体"/>
          <w:b/>
          <w:color w:val="000000"/>
          <w:sz w:val="32"/>
          <w:szCs w:val="32"/>
        </w:rPr>
      </w:pPr>
    </w:p>
    <w:p w14:paraId="23C478FD" w14:textId="1C64B2C8" w:rsidR="00277C96" w:rsidRDefault="00000000">
      <w:pPr>
        <w:pStyle w:val="ab"/>
        <w:numPr>
          <w:ilvl w:val="0"/>
          <w:numId w:val="2"/>
        </w:numPr>
        <w:adjustRightInd w:val="0"/>
        <w:spacing w:beforeLines="50" w:before="156" w:afterLines="50" w:after="156"/>
        <w:ind w:left="0" w:firstLine="560"/>
        <w:contextualSpacing/>
        <w:jc w:val="left"/>
        <w:outlineLvl w:val="0"/>
        <w:rPr>
          <w:rFonts w:ascii="仿宋" w:eastAsia="仿宋" w:hAnsi="仿宋" w:cs="仿宋"/>
          <w:bCs/>
          <w:color w:val="000000"/>
          <w:sz w:val="28"/>
          <w:szCs w:val="28"/>
        </w:rPr>
      </w:pPr>
      <w:r>
        <w:rPr>
          <w:rFonts w:ascii="仿宋" w:eastAsia="仿宋" w:hAnsi="仿宋" w:cs="仿宋" w:hint="eastAsia"/>
          <w:bCs/>
          <w:color w:val="000000"/>
          <w:sz w:val="28"/>
          <w:szCs w:val="28"/>
        </w:rPr>
        <w:t>最高限价：</w:t>
      </w:r>
      <w:r w:rsidR="00D52CAE">
        <w:rPr>
          <w:rFonts w:ascii="仿宋" w:eastAsia="仿宋" w:hAnsi="仿宋" w:cs="仿宋" w:hint="eastAsia"/>
          <w:bCs/>
          <w:color w:val="000000"/>
          <w:sz w:val="28"/>
          <w:szCs w:val="28"/>
        </w:rPr>
        <w:t>4</w:t>
      </w:r>
      <w:r w:rsidR="00D52CAE">
        <w:rPr>
          <w:rFonts w:ascii="仿宋" w:eastAsia="仿宋" w:hAnsi="仿宋" w:cs="仿宋"/>
          <w:bCs/>
          <w:color w:val="000000"/>
          <w:sz w:val="28"/>
          <w:szCs w:val="28"/>
        </w:rPr>
        <w:t>.9</w:t>
      </w:r>
      <w:r w:rsidR="00D52CAE">
        <w:rPr>
          <w:rFonts w:ascii="仿宋" w:eastAsia="仿宋" w:hAnsi="仿宋" w:cs="仿宋" w:hint="eastAsia"/>
          <w:bCs/>
          <w:color w:val="000000"/>
          <w:sz w:val="28"/>
          <w:szCs w:val="28"/>
        </w:rPr>
        <w:t>万</w:t>
      </w:r>
    </w:p>
    <w:p w14:paraId="43623DC7" w14:textId="77777777" w:rsidR="00277C96" w:rsidRDefault="00000000">
      <w:pPr>
        <w:pStyle w:val="ab"/>
        <w:numPr>
          <w:ilvl w:val="0"/>
          <w:numId w:val="2"/>
        </w:numPr>
        <w:adjustRightInd w:val="0"/>
        <w:spacing w:beforeLines="50" w:before="156" w:afterLines="50" w:after="156" w:line="300" w:lineRule="exact"/>
        <w:ind w:left="0" w:firstLine="560"/>
        <w:contextualSpacing/>
        <w:jc w:val="left"/>
        <w:outlineLvl w:val="0"/>
        <w:rPr>
          <w:rFonts w:ascii="仿宋" w:eastAsia="仿宋" w:hAnsi="仿宋" w:cs="仿宋"/>
          <w:bCs/>
          <w:color w:val="000000"/>
          <w:sz w:val="28"/>
          <w:szCs w:val="28"/>
        </w:rPr>
      </w:pPr>
      <w:r>
        <w:rPr>
          <w:rFonts w:ascii="仿宋" w:eastAsia="仿宋" w:hAnsi="仿宋" w:cs="仿宋" w:hint="eastAsia"/>
          <w:bCs/>
          <w:color w:val="000000"/>
          <w:sz w:val="28"/>
          <w:szCs w:val="28"/>
        </w:rPr>
        <w:t>货物清单</w:t>
      </w: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3355"/>
        <w:gridCol w:w="1198"/>
        <w:gridCol w:w="1318"/>
        <w:gridCol w:w="1337"/>
      </w:tblGrid>
      <w:tr w:rsidR="00277C96" w14:paraId="0550A016" w14:textId="77777777">
        <w:trPr>
          <w:trHeight w:val="234"/>
          <w:jc w:val="center"/>
        </w:trPr>
        <w:tc>
          <w:tcPr>
            <w:tcW w:w="930" w:type="dxa"/>
            <w:shd w:val="clear" w:color="auto" w:fill="auto"/>
            <w:vAlign w:val="center"/>
          </w:tcPr>
          <w:p w14:paraId="2AE8DA27" w14:textId="77777777" w:rsidR="00277C96" w:rsidRDefault="00000000">
            <w:pPr>
              <w:widowControl/>
              <w:adjustRightInd w:val="0"/>
              <w:spacing w:line="300" w:lineRule="exact"/>
              <w:contextualSpacing/>
              <w:jc w:val="center"/>
              <w:rPr>
                <w:rFonts w:ascii="宋体" w:hAnsi="宋体"/>
                <w:color w:val="000000"/>
                <w:kern w:val="0"/>
                <w:szCs w:val="21"/>
              </w:rPr>
            </w:pPr>
            <w:r>
              <w:rPr>
                <w:rFonts w:ascii="宋体" w:hAnsi="宋体" w:hint="eastAsia"/>
                <w:color w:val="000000"/>
                <w:kern w:val="0"/>
                <w:szCs w:val="21"/>
              </w:rPr>
              <w:t>序号</w:t>
            </w:r>
          </w:p>
        </w:tc>
        <w:tc>
          <w:tcPr>
            <w:tcW w:w="3355" w:type="dxa"/>
            <w:shd w:val="clear" w:color="auto" w:fill="auto"/>
            <w:vAlign w:val="center"/>
          </w:tcPr>
          <w:p w14:paraId="4205E25C" w14:textId="77777777" w:rsidR="00277C96" w:rsidRDefault="00000000">
            <w:pPr>
              <w:widowControl/>
              <w:adjustRightInd w:val="0"/>
              <w:spacing w:line="300" w:lineRule="exact"/>
              <w:contextualSpacing/>
              <w:jc w:val="center"/>
              <w:rPr>
                <w:rFonts w:ascii="宋体" w:hAnsi="宋体"/>
                <w:color w:val="000000"/>
                <w:kern w:val="0"/>
                <w:szCs w:val="21"/>
              </w:rPr>
            </w:pPr>
            <w:r>
              <w:rPr>
                <w:rFonts w:ascii="宋体" w:hAnsi="宋体" w:hint="eastAsia"/>
                <w:color w:val="000000"/>
                <w:kern w:val="0"/>
                <w:szCs w:val="21"/>
              </w:rPr>
              <w:t>货物名称</w:t>
            </w:r>
          </w:p>
        </w:tc>
        <w:tc>
          <w:tcPr>
            <w:tcW w:w="1198" w:type="dxa"/>
            <w:shd w:val="clear" w:color="auto" w:fill="auto"/>
            <w:vAlign w:val="center"/>
          </w:tcPr>
          <w:p w14:paraId="76C9B53E" w14:textId="77777777" w:rsidR="00277C96" w:rsidRDefault="00000000">
            <w:pPr>
              <w:widowControl/>
              <w:adjustRightInd w:val="0"/>
              <w:spacing w:line="300" w:lineRule="exact"/>
              <w:contextualSpacing/>
              <w:jc w:val="center"/>
              <w:rPr>
                <w:rFonts w:ascii="宋体" w:hAnsi="宋体"/>
                <w:color w:val="000000"/>
                <w:kern w:val="0"/>
                <w:szCs w:val="21"/>
              </w:rPr>
            </w:pPr>
            <w:r>
              <w:rPr>
                <w:rFonts w:ascii="宋体" w:hAnsi="宋体" w:hint="eastAsia"/>
                <w:color w:val="000000"/>
                <w:kern w:val="0"/>
                <w:szCs w:val="21"/>
              </w:rPr>
              <w:t>单位</w:t>
            </w:r>
          </w:p>
        </w:tc>
        <w:tc>
          <w:tcPr>
            <w:tcW w:w="1318" w:type="dxa"/>
            <w:shd w:val="clear" w:color="auto" w:fill="auto"/>
            <w:vAlign w:val="center"/>
          </w:tcPr>
          <w:p w14:paraId="333AF2DA" w14:textId="77777777" w:rsidR="00277C96" w:rsidRDefault="00000000">
            <w:pPr>
              <w:widowControl/>
              <w:adjustRightInd w:val="0"/>
              <w:spacing w:line="300" w:lineRule="exact"/>
              <w:contextualSpacing/>
              <w:jc w:val="center"/>
              <w:rPr>
                <w:rFonts w:ascii="宋体" w:hAnsi="宋体"/>
                <w:color w:val="000000"/>
                <w:kern w:val="0"/>
                <w:szCs w:val="21"/>
              </w:rPr>
            </w:pPr>
            <w:r>
              <w:rPr>
                <w:rFonts w:ascii="宋体" w:hAnsi="宋体" w:hint="eastAsia"/>
                <w:color w:val="000000"/>
                <w:kern w:val="0"/>
                <w:szCs w:val="21"/>
              </w:rPr>
              <w:t>数量</w:t>
            </w:r>
          </w:p>
        </w:tc>
        <w:tc>
          <w:tcPr>
            <w:tcW w:w="1337" w:type="dxa"/>
            <w:shd w:val="clear" w:color="auto" w:fill="auto"/>
            <w:vAlign w:val="center"/>
          </w:tcPr>
          <w:p w14:paraId="77835B40" w14:textId="77777777" w:rsidR="00277C96" w:rsidRDefault="00000000">
            <w:pPr>
              <w:widowControl/>
              <w:adjustRightInd w:val="0"/>
              <w:spacing w:line="300" w:lineRule="exact"/>
              <w:contextualSpacing/>
              <w:jc w:val="center"/>
              <w:rPr>
                <w:rFonts w:ascii="宋体" w:hAnsi="宋体"/>
                <w:color w:val="000000"/>
                <w:kern w:val="0"/>
                <w:szCs w:val="21"/>
              </w:rPr>
            </w:pPr>
            <w:r>
              <w:rPr>
                <w:rFonts w:ascii="宋体" w:hAnsi="宋体" w:hint="eastAsia"/>
                <w:color w:val="000000"/>
                <w:kern w:val="0"/>
                <w:szCs w:val="21"/>
              </w:rPr>
              <w:t>备注</w:t>
            </w:r>
          </w:p>
        </w:tc>
      </w:tr>
      <w:tr w:rsidR="00277C96" w14:paraId="7D7CA5C9" w14:textId="77777777" w:rsidTr="00D52CAE">
        <w:trPr>
          <w:trHeight w:val="812"/>
          <w:jc w:val="center"/>
        </w:trPr>
        <w:tc>
          <w:tcPr>
            <w:tcW w:w="930" w:type="dxa"/>
            <w:shd w:val="clear" w:color="auto" w:fill="auto"/>
            <w:vAlign w:val="center"/>
          </w:tcPr>
          <w:p w14:paraId="011A2CF6" w14:textId="77777777" w:rsidR="00277C96" w:rsidRDefault="00000000">
            <w:pPr>
              <w:pStyle w:val="ab"/>
              <w:widowControl/>
              <w:adjustRightInd w:val="0"/>
              <w:spacing w:line="300" w:lineRule="exact"/>
              <w:ind w:firstLineChars="0" w:firstLine="0"/>
              <w:contextualSpacing/>
              <w:jc w:val="center"/>
              <w:rPr>
                <w:rFonts w:ascii="宋体" w:hAnsi="宋体"/>
                <w:color w:val="000000"/>
                <w:kern w:val="0"/>
                <w:szCs w:val="21"/>
              </w:rPr>
            </w:pPr>
            <w:r>
              <w:rPr>
                <w:rFonts w:ascii="宋体" w:hAnsi="宋体" w:hint="eastAsia"/>
                <w:color w:val="000000"/>
                <w:kern w:val="0"/>
                <w:szCs w:val="21"/>
              </w:rPr>
              <w:t>1</w:t>
            </w:r>
          </w:p>
        </w:tc>
        <w:tc>
          <w:tcPr>
            <w:tcW w:w="3355" w:type="dxa"/>
            <w:shd w:val="clear" w:color="auto" w:fill="auto"/>
            <w:vAlign w:val="center"/>
          </w:tcPr>
          <w:p w14:paraId="589D4E69" w14:textId="0657CA30" w:rsidR="00277C96" w:rsidRPr="00D52CAE" w:rsidRDefault="00000000" w:rsidP="00D52CAE">
            <w:pPr>
              <w:jc w:val="center"/>
              <w:rPr>
                <w:rFonts w:ascii="仿宋" w:eastAsia="仿宋" w:hAnsi="仿宋" w:cs="仿宋"/>
                <w:bCs/>
                <w:color w:val="000000"/>
                <w:sz w:val="28"/>
                <w:szCs w:val="28"/>
              </w:rPr>
            </w:pPr>
            <w:r>
              <w:rPr>
                <w:rFonts w:ascii="仿宋" w:eastAsia="仿宋" w:hAnsi="仿宋" w:cs="仿宋" w:hint="eastAsia"/>
                <w:bCs/>
                <w:color w:val="000000"/>
                <w:sz w:val="28"/>
                <w:szCs w:val="28"/>
              </w:rPr>
              <w:t>孤独症谱系障碍诊断观察量表第二版</w:t>
            </w:r>
          </w:p>
        </w:tc>
        <w:tc>
          <w:tcPr>
            <w:tcW w:w="1198" w:type="dxa"/>
            <w:shd w:val="clear" w:color="auto" w:fill="auto"/>
            <w:vAlign w:val="center"/>
          </w:tcPr>
          <w:p w14:paraId="25D608E8" w14:textId="77777777" w:rsidR="00277C96" w:rsidRDefault="00000000">
            <w:pPr>
              <w:widowControl/>
              <w:adjustRightInd w:val="0"/>
              <w:spacing w:line="300" w:lineRule="exact"/>
              <w:contextualSpacing/>
              <w:jc w:val="center"/>
              <w:rPr>
                <w:rFonts w:ascii="宋体" w:hAnsi="宋体"/>
                <w:color w:val="000000"/>
                <w:kern w:val="0"/>
                <w:szCs w:val="21"/>
              </w:rPr>
            </w:pPr>
            <w:r>
              <w:rPr>
                <w:rFonts w:ascii="宋体" w:hAnsi="宋体" w:hint="eastAsia"/>
                <w:color w:val="000000"/>
                <w:kern w:val="0"/>
                <w:szCs w:val="21"/>
              </w:rPr>
              <w:t>套</w:t>
            </w:r>
          </w:p>
        </w:tc>
        <w:tc>
          <w:tcPr>
            <w:tcW w:w="1318" w:type="dxa"/>
            <w:shd w:val="clear" w:color="auto" w:fill="auto"/>
            <w:vAlign w:val="center"/>
          </w:tcPr>
          <w:p w14:paraId="1F20824D" w14:textId="77777777" w:rsidR="00277C96" w:rsidRDefault="00000000">
            <w:pPr>
              <w:widowControl/>
              <w:adjustRightInd w:val="0"/>
              <w:spacing w:line="300" w:lineRule="exact"/>
              <w:contextualSpacing/>
              <w:jc w:val="center"/>
              <w:rPr>
                <w:rFonts w:ascii="宋体" w:hAnsi="宋体"/>
                <w:color w:val="000000"/>
                <w:kern w:val="0"/>
                <w:szCs w:val="21"/>
              </w:rPr>
            </w:pPr>
            <w:r>
              <w:rPr>
                <w:rFonts w:ascii="宋体" w:hAnsi="宋体" w:hint="eastAsia"/>
                <w:color w:val="000000"/>
                <w:kern w:val="0"/>
                <w:szCs w:val="21"/>
              </w:rPr>
              <w:t>1</w:t>
            </w:r>
          </w:p>
        </w:tc>
        <w:tc>
          <w:tcPr>
            <w:tcW w:w="1337" w:type="dxa"/>
            <w:shd w:val="clear" w:color="auto" w:fill="auto"/>
            <w:vAlign w:val="center"/>
          </w:tcPr>
          <w:p w14:paraId="3D338B88" w14:textId="77777777" w:rsidR="00277C96" w:rsidRDefault="00000000">
            <w:pPr>
              <w:widowControl/>
              <w:adjustRightInd w:val="0"/>
              <w:spacing w:line="300" w:lineRule="exact"/>
              <w:contextualSpacing/>
              <w:jc w:val="center"/>
              <w:rPr>
                <w:rFonts w:ascii="宋体" w:hAnsi="宋体"/>
                <w:color w:val="000000"/>
                <w:kern w:val="0"/>
                <w:szCs w:val="21"/>
              </w:rPr>
            </w:pPr>
            <w:r>
              <w:rPr>
                <w:rFonts w:ascii="宋体" w:hAnsi="宋体" w:hint="eastAsia"/>
                <w:color w:val="000000"/>
                <w:kern w:val="0"/>
                <w:szCs w:val="21"/>
              </w:rPr>
              <w:t>无</w:t>
            </w:r>
          </w:p>
        </w:tc>
      </w:tr>
    </w:tbl>
    <w:p w14:paraId="31F117DE" w14:textId="77777777" w:rsidR="00277C96" w:rsidRDefault="00277C96">
      <w:pPr>
        <w:spacing w:line="300" w:lineRule="exact"/>
        <w:contextualSpacing/>
        <w:rPr>
          <w:rFonts w:ascii="宋体" w:hAnsi="宋体"/>
          <w:szCs w:val="21"/>
        </w:rPr>
      </w:pPr>
    </w:p>
    <w:p w14:paraId="092D5F44" w14:textId="15198EC2" w:rsidR="00277C96" w:rsidRDefault="008E073A">
      <w:pPr>
        <w:pStyle w:val="ab"/>
        <w:numPr>
          <w:ilvl w:val="0"/>
          <w:numId w:val="1"/>
        </w:numPr>
        <w:adjustRightInd w:val="0"/>
        <w:spacing w:beforeLines="50" w:before="156" w:afterLines="50" w:after="156" w:line="300" w:lineRule="exact"/>
        <w:ind w:left="0" w:firstLineChars="0" w:firstLine="0"/>
        <w:contextualSpacing/>
        <w:outlineLvl w:val="0"/>
        <w:rPr>
          <w:rFonts w:ascii="黑体" w:eastAsia="黑体" w:hAnsi="黑体" w:cs="黑体"/>
          <w:b/>
          <w:color w:val="000000"/>
          <w:sz w:val="32"/>
          <w:szCs w:val="32"/>
        </w:rPr>
      </w:pPr>
      <w:r>
        <w:rPr>
          <w:rFonts w:ascii="宋体" w:hAnsi="宋体" w:cs="宋体" w:hint="eastAsia"/>
          <w:b/>
          <w:sz w:val="24"/>
          <w:szCs w:val="21"/>
        </w:rPr>
        <w:t>★</w:t>
      </w:r>
      <w:r w:rsidR="00000000">
        <w:rPr>
          <w:rFonts w:ascii="黑体" w:eastAsia="黑体" w:hAnsi="黑体" w:cs="黑体" w:hint="eastAsia"/>
          <w:b/>
          <w:color w:val="000000"/>
          <w:sz w:val="32"/>
          <w:szCs w:val="32"/>
        </w:rPr>
        <w:t>技术参数要求</w:t>
      </w:r>
    </w:p>
    <w:p w14:paraId="2CAC6F59" w14:textId="77777777" w:rsidR="00277C96" w:rsidRDefault="00277C96">
      <w:pPr>
        <w:pStyle w:val="ab"/>
        <w:adjustRightInd w:val="0"/>
        <w:spacing w:beforeLines="50" w:before="156" w:afterLines="50" w:after="156" w:line="300" w:lineRule="exact"/>
        <w:ind w:firstLineChars="0" w:firstLine="0"/>
        <w:contextualSpacing/>
        <w:outlineLvl w:val="0"/>
        <w:rPr>
          <w:rFonts w:ascii="黑体" w:eastAsia="黑体" w:hAnsi="黑体" w:cs="黑体"/>
          <w:b/>
          <w:color w:val="000000"/>
          <w:sz w:val="32"/>
          <w:szCs w:val="32"/>
        </w:rPr>
      </w:pPr>
    </w:p>
    <w:p w14:paraId="6E387349" w14:textId="7EA83CAF" w:rsidR="00277C96" w:rsidRDefault="00000000" w:rsidP="00D52CAE">
      <w:pPr>
        <w:pStyle w:val="ab"/>
        <w:numPr>
          <w:ilvl w:val="0"/>
          <w:numId w:val="3"/>
        </w:numPr>
        <w:spacing w:line="360" w:lineRule="auto"/>
        <w:ind w:firstLineChars="0"/>
        <w:contextualSpacing/>
      </w:pPr>
      <w:r w:rsidRPr="00D52CAE">
        <w:rPr>
          <w:rFonts w:ascii="宋体" w:hAnsi="宋体" w:cs="宋体" w:hint="eastAsia"/>
          <w:szCs w:val="21"/>
        </w:rPr>
        <w:t>半结构化，标准化行为观察量表, 可适用于12个月及以上各年龄段的儿童及成人，</w:t>
      </w:r>
      <w:r w:rsidR="008E073A">
        <w:rPr>
          <w:rFonts w:ascii="宋体" w:hAnsi="宋体" w:cs="宋体" w:hint="eastAsia"/>
          <w:szCs w:val="21"/>
        </w:rPr>
        <w:t>满足</w:t>
      </w:r>
      <w:r w:rsidRPr="00D52CAE">
        <w:rPr>
          <w:rFonts w:ascii="宋体" w:hAnsi="宋体" w:cs="宋体" w:hint="eastAsia"/>
          <w:szCs w:val="21"/>
        </w:rPr>
        <w:t>孤独症谱系障碍临床诊断、干预、治疗评估工具，</w:t>
      </w:r>
      <w:r w:rsidR="008E073A">
        <w:rPr>
          <w:rFonts w:ascii="宋体" w:hAnsi="宋体" w:cs="宋体" w:hint="eastAsia"/>
          <w:szCs w:val="21"/>
        </w:rPr>
        <w:t>支持</w:t>
      </w:r>
      <w:r w:rsidRPr="00D52CAE">
        <w:rPr>
          <w:rFonts w:ascii="宋体" w:hAnsi="宋体" w:cs="宋体" w:hint="eastAsia"/>
          <w:szCs w:val="21"/>
        </w:rPr>
        <w:t>在医院对患者进行评估。</w:t>
      </w:r>
    </w:p>
    <w:p w14:paraId="06AB9C14" w14:textId="4F54B33C" w:rsidR="00277C96" w:rsidRPr="00D52CAE" w:rsidRDefault="00000000" w:rsidP="00D52CAE">
      <w:pPr>
        <w:pStyle w:val="ab"/>
        <w:numPr>
          <w:ilvl w:val="0"/>
          <w:numId w:val="3"/>
        </w:numPr>
        <w:spacing w:line="360" w:lineRule="auto"/>
        <w:ind w:firstLineChars="0"/>
        <w:contextualSpacing/>
      </w:pPr>
      <w:r w:rsidRPr="00D52CAE">
        <w:rPr>
          <w:rFonts w:ascii="宋体" w:hAnsi="宋体" w:cs="宋体" w:hint="eastAsia"/>
          <w:szCs w:val="21"/>
        </w:rPr>
        <w:t>新增比较分数及幼儿模块, 使其可应用于全年龄段，不受语言发育水平的影响。五个模块的临床敏感度（将实际有病的人正确地判定为真阳性的比例）为80</w:t>
      </w:r>
      <w:r w:rsidR="00C94533">
        <w:rPr>
          <w:rFonts w:ascii="Times New Roman" w:hAnsi="Times New Roman"/>
          <w:szCs w:val="21"/>
        </w:rPr>
        <w:t>~</w:t>
      </w:r>
      <w:r w:rsidRPr="00D52CAE">
        <w:rPr>
          <w:rFonts w:ascii="宋体" w:hAnsi="宋体" w:cs="宋体" w:hint="eastAsia"/>
          <w:szCs w:val="21"/>
        </w:rPr>
        <w:t>90%，临床特异度（将实际无病的人正确地判定为真阴性的比例）为75</w:t>
      </w:r>
      <w:r w:rsidR="00C94533">
        <w:rPr>
          <w:rFonts w:ascii="Times New Roman" w:hAnsi="Times New Roman"/>
          <w:szCs w:val="21"/>
        </w:rPr>
        <w:t>~</w:t>
      </w:r>
      <w:r w:rsidRPr="00D52CAE">
        <w:rPr>
          <w:rFonts w:ascii="宋体" w:hAnsi="宋体" w:cs="宋体" w:hint="eastAsia"/>
          <w:szCs w:val="21"/>
        </w:rPr>
        <w:t>86%，均为较高水平。</w:t>
      </w:r>
    </w:p>
    <w:p w14:paraId="01B36975" w14:textId="0CD81B6A" w:rsidR="00D52CAE" w:rsidRPr="00D52CAE" w:rsidRDefault="00000000" w:rsidP="00D52CAE">
      <w:pPr>
        <w:pStyle w:val="ab"/>
        <w:numPr>
          <w:ilvl w:val="0"/>
          <w:numId w:val="3"/>
        </w:numPr>
        <w:spacing w:line="360" w:lineRule="auto"/>
        <w:ind w:firstLineChars="0"/>
        <w:contextualSpacing/>
      </w:pPr>
      <w:r w:rsidRPr="00D52CAE">
        <w:rPr>
          <w:rFonts w:ascii="宋体" w:hAnsi="宋体" w:cs="宋体" w:hint="eastAsia"/>
          <w:szCs w:val="21"/>
        </w:rPr>
        <w:t>功能：</w:t>
      </w:r>
      <w:r w:rsidRPr="00D52CAE">
        <w:rPr>
          <w:rFonts w:ascii="宋体" w:hAnsi="宋体" w:cs="宋体" w:hint="eastAsia"/>
          <w:szCs w:val="21"/>
          <w:lang w:val="en-GB"/>
        </w:rPr>
        <w:t>通过提供结构化的游戏和访谈，观察及评估测试对象的沟通社交互动能力及有无刻板行为和狭隘兴趣，为孤独症诊断的“金标准”。</w:t>
      </w:r>
    </w:p>
    <w:p w14:paraId="15D98038" w14:textId="5AF8C7E5" w:rsidR="00277C96" w:rsidRDefault="00D52CAE">
      <w:pPr>
        <w:spacing w:line="360" w:lineRule="auto"/>
        <w:ind w:firstLineChars="100" w:firstLine="210"/>
        <w:contextualSpacing/>
        <w:rPr>
          <w:rFonts w:ascii="宋体" w:hAnsi="宋体" w:cs="宋体"/>
          <w:szCs w:val="21"/>
        </w:rPr>
      </w:pPr>
      <w:r>
        <w:rPr>
          <w:rFonts w:ascii="宋体" w:hAnsi="宋体" w:cs="宋体"/>
          <w:szCs w:val="21"/>
        </w:rPr>
        <w:t>4</w:t>
      </w:r>
      <w:r>
        <w:rPr>
          <w:rFonts w:ascii="宋体" w:hAnsi="宋体" w:cs="宋体" w:hint="eastAsia"/>
          <w:szCs w:val="21"/>
        </w:rPr>
        <w:t>、</w:t>
      </w:r>
      <w:r w:rsidR="00000000">
        <w:rPr>
          <w:rFonts w:ascii="宋体" w:hAnsi="宋体" w:cs="宋体" w:hint="eastAsia"/>
          <w:szCs w:val="21"/>
        </w:rPr>
        <w:t>配置清单：使用手册一本，一整套评估工具，记分册（模块1-模块4（Module1-4）和幼儿模块（Toddler Module）），统分册，</w:t>
      </w:r>
      <w:r w:rsidR="00E83DFC">
        <w:t>单机版计分软件</w:t>
      </w:r>
      <w:r w:rsidR="00E83DFC">
        <w:t>1</w:t>
      </w:r>
      <w:r w:rsidR="00E83DFC">
        <w:rPr>
          <w:rFonts w:hint="eastAsia"/>
        </w:rPr>
        <w:t>套。</w:t>
      </w:r>
    </w:p>
    <w:p w14:paraId="5418932D" w14:textId="76E636EF" w:rsidR="00277C96" w:rsidRDefault="00000000" w:rsidP="008340DD">
      <w:pPr>
        <w:spacing w:line="360" w:lineRule="auto"/>
        <w:ind w:firstLineChars="200" w:firstLine="420"/>
        <w:contextualSpacing/>
        <w:rPr>
          <w:rFonts w:ascii="宋体" w:hAnsi="宋体" w:cs="宋体"/>
          <w:szCs w:val="21"/>
        </w:rPr>
      </w:pPr>
      <w:r>
        <w:rPr>
          <w:rFonts w:ascii="宋体" w:hAnsi="宋体" w:cs="宋体" w:hint="eastAsia"/>
          <w:szCs w:val="21"/>
        </w:rPr>
        <w:t>5、按年龄以及语言能力分组的模块，分为基础课程（模块1-模块4）和幼儿模块（Toddler模块）。每个模块需要40到60分钟的时间来操作。模块1(Module 1)-适用于31个月及以上不能使用连贯词组进行语言表达的儿童</w:t>
      </w:r>
      <w:r w:rsidR="008340DD">
        <w:rPr>
          <w:rFonts w:ascii="宋体" w:hAnsi="宋体" w:cs="宋体" w:hint="eastAsia"/>
          <w:szCs w:val="21"/>
        </w:rPr>
        <w:t>；</w:t>
      </w:r>
      <w:r>
        <w:rPr>
          <w:rFonts w:ascii="宋体" w:hAnsi="宋体" w:cs="宋体" w:hint="eastAsia"/>
          <w:szCs w:val="21"/>
        </w:rPr>
        <w:t>模块2(Module 2)-适用于任何年龄段使用词组</w:t>
      </w:r>
      <w:r>
        <w:rPr>
          <w:rFonts w:ascii="宋体" w:hAnsi="宋体" w:cs="宋体" w:hint="eastAsia"/>
          <w:szCs w:val="21"/>
        </w:rPr>
        <w:lastRenderedPageBreak/>
        <w:t>但口语不流利的儿童；模块3(Module 3)-适用于言语流利的儿童和青少年；模块4(Module 4)-适用于言语流利的青少年和成年人；幼儿模块（Toddler Module）适用于12至30个月还不能使用连贯的词组进行语言表达的儿童。</w:t>
      </w:r>
    </w:p>
    <w:p w14:paraId="4DD2F87B" w14:textId="77777777" w:rsidR="00277C96" w:rsidRDefault="00000000">
      <w:pPr>
        <w:pStyle w:val="ab"/>
        <w:numPr>
          <w:ilvl w:val="0"/>
          <w:numId w:val="1"/>
        </w:numPr>
        <w:adjustRightInd w:val="0"/>
        <w:spacing w:beforeLines="50" w:before="156" w:afterLines="50" w:after="156" w:line="300" w:lineRule="exact"/>
        <w:ind w:left="0" w:firstLineChars="0" w:firstLine="0"/>
        <w:contextualSpacing/>
        <w:outlineLvl w:val="0"/>
        <w:rPr>
          <w:rFonts w:ascii="黑体" w:eastAsia="黑体" w:hAnsi="黑体" w:cs="黑体"/>
          <w:b/>
          <w:color w:val="000000"/>
          <w:sz w:val="32"/>
          <w:szCs w:val="32"/>
        </w:rPr>
      </w:pPr>
      <w:r>
        <w:rPr>
          <w:rFonts w:ascii="黑体" w:eastAsia="黑体" w:hAnsi="黑体" w:cs="黑体" w:hint="eastAsia"/>
          <w:b/>
          <w:color w:val="000000"/>
          <w:sz w:val="32"/>
          <w:szCs w:val="32"/>
        </w:rPr>
        <w:t>商务要求</w:t>
      </w:r>
    </w:p>
    <w:p w14:paraId="319361A6" w14:textId="77777777" w:rsidR="00277C96" w:rsidRDefault="00000000">
      <w:pPr>
        <w:pStyle w:val="2"/>
        <w:spacing w:before="0" w:after="0" w:line="360" w:lineRule="auto"/>
        <w:ind w:firstLineChars="200" w:firstLine="422"/>
        <w:contextualSpacing/>
        <w:rPr>
          <w:rFonts w:ascii="宋体" w:hAnsi="宋体" w:cs="宋体"/>
          <w:bCs w:val="0"/>
          <w:sz w:val="21"/>
          <w:szCs w:val="21"/>
        </w:rPr>
      </w:pPr>
      <w:r>
        <w:rPr>
          <w:rFonts w:ascii="宋体" w:hAnsi="宋体" w:cs="宋体" w:hint="eastAsia"/>
          <w:bCs w:val="0"/>
          <w:sz w:val="21"/>
          <w:szCs w:val="21"/>
        </w:rPr>
        <w:t>1．</w:t>
      </w:r>
      <w:r>
        <w:rPr>
          <w:rFonts w:ascii="宋体" w:hAnsi="宋体" w:cs="宋体" w:hint="eastAsia"/>
          <w:sz w:val="24"/>
          <w:szCs w:val="21"/>
        </w:rPr>
        <w:t xml:space="preserve">★ </w:t>
      </w:r>
      <w:r>
        <w:rPr>
          <w:rFonts w:ascii="宋体" w:hAnsi="宋体" w:cs="宋体" w:hint="eastAsia"/>
          <w:bCs w:val="0"/>
          <w:sz w:val="21"/>
          <w:szCs w:val="21"/>
        </w:rPr>
        <w:t>项目实施完成期限及地点</w:t>
      </w:r>
    </w:p>
    <w:p w14:paraId="7E15E468" w14:textId="77777777" w:rsidR="00277C96" w:rsidRDefault="00000000">
      <w:pPr>
        <w:spacing w:line="360" w:lineRule="auto"/>
        <w:ind w:firstLineChars="200" w:firstLine="420"/>
        <w:contextualSpacing/>
        <w:rPr>
          <w:rFonts w:ascii="宋体" w:hAnsi="宋体" w:cs="宋体"/>
          <w:szCs w:val="21"/>
        </w:rPr>
      </w:pPr>
      <w:r>
        <w:rPr>
          <w:rFonts w:ascii="宋体" w:hAnsi="宋体" w:cs="宋体" w:hint="eastAsia"/>
          <w:szCs w:val="21"/>
        </w:rPr>
        <w:t>1.1 交货期限：合同签订后30日历日内。</w:t>
      </w:r>
    </w:p>
    <w:p w14:paraId="28E87872" w14:textId="77777777" w:rsidR="00277C96" w:rsidRDefault="00000000">
      <w:pPr>
        <w:spacing w:line="360" w:lineRule="auto"/>
        <w:ind w:firstLineChars="200" w:firstLine="420"/>
        <w:contextualSpacing/>
        <w:rPr>
          <w:rFonts w:ascii="宋体" w:hAnsi="宋体" w:cs="宋体"/>
          <w:szCs w:val="21"/>
        </w:rPr>
      </w:pPr>
      <w:r>
        <w:rPr>
          <w:rFonts w:ascii="宋体" w:hAnsi="宋体" w:cs="宋体" w:hint="eastAsia"/>
          <w:szCs w:val="21"/>
        </w:rPr>
        <w:t>1.2 交货地点：四川省妇幼保健院。</w:t>
      </w:r>
    </w:p>
    <w:p w14:paraId="79618141" w14:textId="77777777" w:rsidR="00277C96" w:rsidRDefault="00000000">
      <w:pPr>
        <w:spacing w:line="360" w:lineRule="auto"/>
        <w:ind w:firstLineChars="200" w:firstLine="422"/>
        <w:contextualSpacing/>
        <w:rPr>
          <w:rFonts w:ascii="宋体" w:hAnsi="宋体" w:cs="宋体"/>
          <w:b/>
          <w:szCs w:val="21"/>
        </w:rPr>
      </w:pPr>
      <w:r>
        <w:rPr>
          <w:rFonts w:ascii="宋体" w:hAnsi="宋体" w:cs="宋体" w:hint="eastAsia"/>
          <w:b/>
          <w:szCs w:val="21"/>
        </w:rPr>
        <w:t>2．付款方法和条件：按照合同签订方式执行</w:t>
      </w:r>
    </w:p>
    <w:p w14:paraId="2CA8A4A2" w14:textId="77777777" w:rsidR="00277C96" w:rsidRDefault="00000000">
      <w:pPr>
        <w:spacing w:line="360" w:lineRule="auto"/>
        <w:ind w:firstLineChars="200" w:firstLine="422"/>
        <w:contextualSpacing/>
        <w:rPr>
          <w:rFonts w:ascii="宋体" w:hAnsi="宋体" w:cs="宋体"/>
          <w:b/>
          <w:szCs w:val="21"/>
        </w:rPr>
      </w:pPr>
      <w:r>
        <w:rPr>
          <w:rFonts w:ascii="宋体" w:hAnsi="宋体" w:cs="宋体" w:hint="eastAsia"/>
          <w:b/>
          <w:szCs w:val="21"/>
        </w:rPr>
        <w:t>3. 质保期：</w:t>
      </w:r>
      <w:r>
        <w:rPr>
          <w:rFonts w:ascii="宋体" w:hAnsi="宋体" w:cs="宋体" w:hint="eastAsia"/>
          <w:bCs/>
          <w:szCs w:val="21"/>
        </w:rPr>
        <w:t>不少于1年。</w:t>
      </w:r>
    </w:p>
    <w:p w14:paraId="5CC0A4CE" w14:textId="77777777" w:rsidR="00277C96" w:rsidRDefault="00000000">
      <w:pPr>
        <w:pStyle w:val="2"/>
        <w:spacing w:before="0" w:after="0" w:line="360" w:lineRule="auto"/>
        <w:ind w:firstLineChars="200" w:firstLine="422"/>
        <w:contextualSpacing/>
        <w:rPr>
          <w:rFonts w:ascii="宋体" w:hAnsi="宋体" w:cs="宋体"/>
          <w:bCs w:val="0"/>
          <w:sz w:val="21"/>
          <w:szCs w:val="21"/>
        </w:rPr>
      </w:pPr>
      <w:r>
        <w:rPr>
          <w:rFonts w:ascii="宋体" w:hAnsi="宋体" w:cs="宋体" w:hint="eastAsia"/>
          <w:bCs w:val="0"/>
          <w:sz w:val="21"/>
          <w:szCs w:val="21"/>
        </w:rPr>
        <w:t>4. 验收标准：</w:t>
      </w:r>
    </w:p>
    <w:p w14:paraId="657F5763" w14:textId="77777777" w:rsidR="00277C96" w:rsidRDefault="00000000">
      <w:pPr>
        <w:spacing w:line="360" w:lineRule="auto"/>
        <w:ind w:firstLineChars="200" w:firstLine="420"/>
        <w:contextualSpacing/>
        <w:rPr>
          <w:rFonts w:ascii="宋体" w:hAnsi="宋体" w:cs="宋体"/>
          <w:bCs/>
          <w:szCs w:val="21"/>
        </w:rPr>
      </w:pPr>
      <w:r>
        <w:rPr>
          <w:rFonts w:ascii="宋体" w:hAnsi="宋体" w:cs="宋体" w:hint="eastAsia"/>
          <w:bCs/>
          <w:szCs w:val="21"/>
        </w:rPr>
        <w:t>1）中标人与采购人将严格按照《财政部关于进一步加强政府采购需求和履约验收管理的指导意见》(财库〔2016〕205号)的要求进行验收。</w:t>
      </w:r>
    </w:p>
    <w:p w14:paraId="61486806" w14:textId="77777777" w:rsidR="00277C96" w:rsidRDefault="00000000">
      <w:pPr>
        <w:spacing w:after="160" w:line="360" w:lineRule="auto"/>
        <w:ind w:firstLineChars="200" w:firstLine="420"/>
        <w:contextualSpacing/>
        <w:rPr>
          <w:rFonts w:ascii="宋体" w:hAnsi="宋体" w:cs="宋体"/>
          <w:szCs w:val="21"/>
        </w:rPr>
      </w:pPr>
      <w:r>
        <w:rPr>
          <w:rFonts w:ascii="宋体" w:hAnsi="宋体" w:cs="宋体" w:hint="eastAsia"/>
          <w:szCs w:val="21"/>
        </w:rPr>
        <w:t>2）以招标文件技术参数及要求和相关行业标准为准。</w:t>
      </w:r>
    </w:p>
    <w:p w14:paraId="31CBA012" w14:textId="77777777" w:rsidR="00277C96" w:rsidRDefault="00277C96"/>
    <w:sectPr w:rsidR="00277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D1A39"/>
    <w:multiLevelType w:val="multilevel"/>
    <w:tmpl w:val="8F9D1A39"/>
    <w:lvl w:ilvl="0">
      <w:start w:val="1"/>
      <w:numFmt w:val="decimal"/>
      <w:lvlText w:val="%1."/>
      <w:lvlJc w:val="left"/>
      <w:pPr>
        <w:tabs>
          <w:tab w:val="left" w:pos="-108"/>
        </w:tabs>
        <w:ind w:left="-42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E93D30A6"/>
    <w:multiLevelType w:val="singleLevel"/>
    <w:tmpl w:val="F1C6F5D2"/>
    <w:lvl w:ilvl="0">
      <w:start w:val="1"/>
      <w:numFmt w:val="decimal"/>
      <w:suff w:val="nothing"/>
      <w:lvlText w:val="%1、"/>
      <w:lvlJc w:val="left"/>
      <w:rPr>
        <w:rFonts w:ascii="宋体" w:eastAsia="宋体" w:hAnsi="宋体" w:cs="宋体"/>
      </w:rPr>
    </w:lvl>
  </w:abstractNum>
  <w:abstractNum w:abstractNumId="2" w15:restartNumberingAfterBreak="0">
    <w:nsid w:val="40D2721A"/>
    <w:multiLevelType w:val="multilevel"/>
    <w:tmpl w:val="40D2721A"/>
    <w:lvl w:ilvl="0">
      <w:start w:val="1"/>
      <w:numFmt w:val="chineseCountingThousand"/>
      <w:lvlText w:val="%1、"/>
      <w:lvlJc w:val="left"/>
      <w:pPr>
        <w:ind w:left="7508"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16cid:durableId="112604645">
    <w:abstractNumId w:val="2"/>
  </w:num>
  <w:num w:numId="2" w16cid:durableId="1349256998">
    <w:abstractNumId w:val="0"/>
  </w:num>
  <w:num w:numId="3" w16cid:durableId="1322810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27315D"/>
    <w:rsid w:val="000061A2"/>
    <w:rsid w:val="000568C2"/>
    <w:rsid w:val="00067E16"/>
    <w:rsid w:val="00095289"/>
    <w:rsid w:val="00267E90"/>
    <w:rsid w:val="0027315D"/>
    <w:rsid w:val="00277C96"/>
    <w:rsid w:val="0028156F"/>
    <w:rsid w:val="003C7E92"/>
    <w:rsid w:val="00426FD9"/>
    <w:rsid w:val="004E471E"/>
    <w:rsid w:val="00597319"/>
    <w:rsid w:val="00712318"/>
    <w:rsid w:val="00804A9D"/>
    <w:rsid w:val="008340DD"/>
    <w:rsid w:val="008E073A"/>
    <w:rsid w:val="009B5A98"/>
    <w:rsid w:val="009C7716"/>
    <w:rsid w:val="00AD5190"/>
    <w:rsid w:val="00C24629"/>
    <w:rsid w:val="00C94533"/>
    <w:rsid w:val="00D52CAE"/>
    <w:rsid w:val="00E83DFC"/>
    <w:rsid w:val="0A1F7B28"/>
    <w:rsid w:val="13E26CDE"/>
    <w:rsid w:val="39EE2F87"/>
    <w:rsid w:val="3DEB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D0B5"/>
  <w15:docId w15:val="{A0790DA4-4D41-40DF-9E10-A57DB24D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paragraph" w:styleId="a9">
    <w:name w:val="Normal (Web)"/>
    <w:basedOn w:val="a"/>
    <w:uiPriority w:val="99"/>
    <w:semiHidden/>
    <w:unhideWhenUsed/>
    <w:pPr>
      <w:spacing w:beforeAutospacing="1" w:afterAutospacing="1"/>
      <w:jc w:val="left"/>
    </w:pPr>
    <w:rPr>
      <w:kern w:val="0"/>
      <w:sz w:val="24"/>
    </w:rPr>
  </w:style>
  <w:style w:type="character" w:styleId="aa">
    <w:name w:val="Strong"/>
    <w:basedOn w:val="a1"/>
    <w:uiPriority w:val="22"/>
    <w:qFormat/>
    <w:rPr>
      <w:b/>
    </w:r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qFormat/>
    <w:rPr>
      <w:sz w:val="18"/>
      <w:szCs w:val="18"/>
    </w:rPr>
  </w:style>
  <w:style w:type="character" w:customStyle="1" w:styleId="20">
    <w:name w:val="标题 2 字符"/>
    <w:basedOn w:val="a1"/>
    <w:link w:val="2"/>
    <w:uiPriority w:val="9"/>
    <w:qFormat/>
    <w:rPr>
      <w:rFonts w:ascii="Cambria" w:hAnsi="Cambria" w:cs="Times New Roman"/>
      <w:b/>
      <w:bCs/>
      <w:sz w:val="32"/>
      <w:szCs w:val="32"/>
    </w:rPr>
  </w:style>
  <w:style w:type="character" w:customStyle="1" w:styleId="a4">
    <w:name w:val="正文文本 字符"/>
    <w:basedOn w:val="a1"/>
    <w:link w:val="a0"/>
    <w:uiPriority w:val="99"/>
    <w:qFormat/>
    <w:rPr>
      <w:rFonts w:ascii="Calibri" w:hAnsi="Calibri" w:cs="Times New Roman"/>
      <w:sz w:val="21"/>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dc:creator>
  <cp:lastModifiedBy>子</cp:lastModifiedBy>
  <cp:revision>22</cp:revision>
  <dcterms:created xsi:type="dcterms:W3CDTF">2023-07-04T08:03:00Z</dcterms:created>
  <dcterms:modified xsi:type="dcterms:W3CDTF">2023-07-28T08:38:00Z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20212AD77C224A10A32898E2D17E616E_13</vt:lpwstr>
  </property>
</Properties>
</file>