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  件：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四川省妇幼保健院 四川省妇女儿童医院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2023年四川省</w:t>
      </w:r>
      <w:bookmarkStart w:id="1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消除母婴传播主题宣传活动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市场调研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内容及功能需求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一、项目内容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四川省妇幼保健院2023年四川省消除母婴传播主题宣传活动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。项目要求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结合四川省消除母婴传播工作开展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实际，创新传播方式和手段，在省级及以上主流媒体大力宣传我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省在消除母婴传播工作上</w:t>
      </w:r>
      <w:r>
        <w:rPr>
          <w:rFonts w:hint="eastAsia" w:ascii="仿宋_GB2312" w:hAnsi="仿宋_GB2312" w:eastAsia="仿宋_GB2312" w:cs="仿宋_GB2312"/>
          <w:sz w:val="32"/>
          <w:szCs w:val="32"/>
        </w:rPr>
        <w:t>的生动实践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和工作成效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二、项目要求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1.围绕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我省消除艾滋病、梅毒和乙肝母婴传播工作开展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，紧扣重要节点，在省级及以上主流媒体完成各类大小主题性系列宣传。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重点内容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在公众平台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次多元化呈现，主题鲜明、重点突出、形式新颖。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.策划完成至少1个配套宣传活动，要求紧扣主题、彰显医院特色，形成较强互动参与度，获得广泛影响力。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4.器材要求：供应商提供所有宣传产品制作所需摄影、剪辑、制作、录音等设备器材。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5.配备专业项目团队。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采购项目报价一览表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项目名称： </w:t>
      </w:r>
    </w:p>
    <w:tbl>
      <w:tblPr>
        <w:tblStyle w:val="4"/>
        <w:tblW w:w="72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2484"/>
        <w:gridCol w:w="2560"/>
        <w:gridCol w:w="10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484" w:type="dxa"/>
            <w:tcBorders>
              <w:top w:val="single" w:color="auto" w:sz="8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服务内容</w:t>
            </w:r>
          </w:p>
        </w:tc>
        <w:tc>
          <w:tcPr>
            <w:tcW w:w="2560" w:type="dxa"/>
            <w:tcBorders>
              <w:top w:val="single" w:color="auto" w:sz="8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单价（元）</w:t>
            </w:r>
          </w:p>
        </w:tc>
        <w:tc>
          <w:tcPr>
            <w:tcW w:w="1065" w:type="dxa"/>
            <w:tcBorders>
              <w:top w:val="single" w:color="auto" w:sz="8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170" w:type="dxa"/>
            <w:tcBorders>
              <w:top w:val="outset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84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</w:pPr>
          </w:p>
        </w:tc>
        <w:tc>
          <w:tcPr>
            <w:tcW w:w="256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1170" w:type="dxa"/>
            <w:tcBorders>
              <w:top w:val="outset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报价</w:t>
            </w: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合计</w:t>
            </w:r>
          </w:p>
        </w:tc>
        <w:tc>
          <w:tcPr>
            <w:tcW w:w="6109" w:type="dxa"/>
            <w:gridSpan w:val="3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人民币大写：            元（人民币小写：        元）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 1.报价表中的价格应是最终用户验收合格后的总价，包括人工费、税费等费用以及一切其它相关费用。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2.“报价一览表”为多页的，每页均需由法定代表人或授权代表签字并盖投标人印章。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3.报价方式：以人民币报价。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供应商名称（盖章）：      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法定代表人或授权代表（签字）：      联系方式：      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Hlk96287736"/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供应商类似项目业绩一览表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项目名称：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646"/>
        <w:gridCol w:w="1679"/>
        <w:gridCol w:w="1108"/>
        <w:gridCol w:w="1089"/>
        <w:gridCol w:w="1462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4" w:hRule="atLeast"/>
        </w:trPr>
        <w:tc>
          <w:tcPr>
            <w:tcW w:w="78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年份</w:t>
            </w:r>
          </w:p>
        </w:tc>
        <w:tc>
          <w:tcPr>
            <w:tcW w:w="164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用户名称</w:t>
            </w:r>
          </w:p>
        </w:tc>
        <w:tc>
          <w:tcPr>
            <w:tcW w:w="167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</w:t>
            </w:r>
          </w:p>
        </w:tc>
        <w:tc>
          <w:tcPr>
            <w:tcW w:w="110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完成</w:t>
            </w: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时间</w:t>
            </w:r>
          </w:p>
        </w:tc>
        <w:tc>
          <w:tcPr>
            <w:tcW w:w="108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合同</w:t>
            </w: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金额</w:t>
            </w:r>
          </w:p>
        </w:tc>
        <w:tc>
          <w:tcPr>
            <w:tcW w:w="146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是否通过验收</w:t>
            </w:r>
          </w:p>
        </w:tc>
        <w:tc>
          <w:tcPr>
            <w:tcW w:w="75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6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9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9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2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6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9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9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2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6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9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9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2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6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9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9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2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6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9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9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2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6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9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9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2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6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9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9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2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6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9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9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2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6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9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9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2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6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9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9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2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供应商名称：                         (盖章) 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法定代表人或授权代表：                             (签字或盖章)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填写日期:             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项目服务团队情况一览表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项目名称：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分工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职务/职称</w:t>
            </w:r>
          </w:p>
        </w:tc>
        <w:tc>
          <w:tcPr>
            <w:tcW w:w="5327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资格证明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证书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级别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证号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取得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供应商名称：                         (盖章) 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法定代表人或授权代表：                             (签字或盖章)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填写日期:               </w:t>
      </w:r>
    </w:p>
    <w:bookmarkEnd w:id="0"/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ZjEzOTJlMDQxZjA4MTA3ODc3YjY4NjFkYjA5MDgifQ=="/>
  </w:docVars>
  <w:rsids>
    <w:rsidRoot w:val="4A8A2584"/>
    <w:rsid w:val="4A8A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/>
      <w:sz w:val="44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2023-09-19T00:40:00Z</dcterms:created>
  <dc:creator>青枨</dc:creator>
  <cp:lastModifiedBy>青枨</cp:lastModifiedBy>
  <dcterms:modified xsi:type="dcterms:W3CDTF">2023-09-19T00:40:57Z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D3DE05906DC0421C985C149D399A4005_11</vt:lpwstr>
  </property>
</Properties>
</file>