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病房用冰箱、微波炉项目采购要求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病房用冰箱、微波炉</w:t>
      </w:r>
    </w:p>
    <w:p>
      <w:pPr>
        <w:pStyle w:val="4"/>
        <w:widowControl/>
        <w:spacing w:line="36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晋阳院区产科</w:t>
      </w:r>
    </w:p>
    <w:p>
      <w:pPr>
        <w:pStyle w:val="7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冰箱</w:t>
      </w:r>
      <w:r>
        <w:rPr>
          <w:rFonts w:hint="eastAsia" w:ascii="仿宋_GB2312" w:eastAsia="仿宋_GB2312"/>
          <w:bCs/>
          <w:sz w:val="28"/>
          <w:szCs w:val="28"/>
        </w:rPr>
        <w:t>参数：</w:t>
      </w:r>
      <w:r>
        <w:rPr>
          <w:rFonts w:hint="eastAsia" w:ascii="仿宋_GB2312" w:eastAsia="仿宋_GB2312"/>
          <w:sz w:val="28"/>
          <w:szCs w:val="28"/>
        </w:rPr>
        <w:t>一线品牌,一级能耗，冷冻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/>
          <w:sz w:val="28"/>
          <w:szCs w:val="28"/>
        </w:rPr>
        <w:t>冷藏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数量</w:t>
      </w:r>
      <w:r>
        <w:rPr>
          <w:rFonts w:hint="eastAsia" w:ascii="仿宋_GB2312" w:eastAsia="仿宋_GB2312"/>
          <w:sz w:val="28"/>
          <w:szCs w:val="28"/>
        </w:rPr>
        <w:t>：4台，</w:t>
      </w:r>
      <w:r>
        <w:rPr>
          <w:rFonts w:hint="eastAsia" w:ascii="仿宋_GB2312" w:eastAsia="仿宋_GB2312"/>
          <w:sz w:val="28"/>
          <w:szCs w:val="28"/>
          <w:lang w:eastAsia="zh-CN"/>
        </w:rPr>
        <w:t>上下双开</w:t>
      </w:r>
      <w:r>
        <w:rPr>
          <w:rFonts w:hint="eastAsia" w:ascii="仿宋_GB2312" w:eastAsia="仿宋_GB2312"/>
          <w:sz w:val="28"/>
          <w:szCs w:val="28"/>
        </w:rPr>
        <w:t>门</w:t>
      </w:r>
      <w:r>
        <w:rPr>
          <w:rFonts w:hint="eastAsia" w:ascii="仿宋_GB2312" w:eastAsia="仿宋_GB2312"/>
          <w:sz w:val="28"/>
          <w:szCs w:val="28"/>
          <w:lang w:eastAsia="zh-CN"/>
        </w:rPr>
        <w:t>，容积</w:t>
      </w:r>
      <w:r>
        <w:rPr>
          <w:rFonts w:hint="default" w:ascii="Arial" w:hAnsi="Arial" w:eastAsia="仿宋_GB2312" w:cs="Arial"/>
          <w:sz w:val="28"/>
          <w:szCs w:val="28"/>
          <w:lang w:eastAsia="zh-CN"/>
        </w:rPr>
        <w:t>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200L</w:t>
      </w:r>
      <w:r>
        <w:rPr>
          <w:rFonts w:hint="eastAsia" w:ascii="仿宋_GB2312" w:eastAsia="仿宋_GB2312"/>
          <w:sz w:val="28"/>
          <w:szCs w:val="28"/>
        </w:rPr>
        <w:t>；</w:t>
      </w:r>
      <w:bookmarkStart w:id="3" w:name="_GoBack"/>
      <w:bookmarkEnd w:id="3"/>
    </w:p>
    <w:p>
      <w:pPr>
        <w:pStyle w:val="7"/>
        <w:spacing w:line="360" w:lineRule="auto"/>
        <w:ind w:firstLine="1400" w:firstLineChars="5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台，</w:t>
      </w:r>
      <w:r>
        <w:rPr>
          <w:rFonts w:hint="eastAsia" w:ascii="仿宋_GB2312" w:eastAsia="仿宋_GB2312"/>
          <w:sz w:val="28"/>
          <w:szCs w:val="28"/>
          <w:lang w:eastAsia="zh-CN"/>
        </w:rPr>
        <w:t>上下双开</w:t>
      </w:r>
      <w:r>
        <w:rPr>
          <w:rFonts w:hint="eastAsia" w:ascii="仿宋_GB2312" w:eastAsia="仿宋_GB2312"/>
          <w:sz w:val="28"/>
          <w:szCs w:val="28"/>
        </w:rPr>
        <w:t>门</w:t>
      </w:r>
      <w:r>
        <w:rPr>
          <w:rFonts w:hint="eastAsia" w:ascii="仿宋_GB2312" w:eastAsia="仿宋_GB2312"/>
          <w:sz w:val="28"/>
          <w:szCs w:val="28"/>
          <w:lang w:eastAsia="zh-CN"/>
        </w:rPr>
        <w:t>，容积</w:t>
      </w:r>
      <w:r>
        <w:rPr>
          <w:rFonts w:hint="default" w:ascii="Arial" w:hAnsi="Arial" w:eastAsia="仿宋_GB2312" w:cs="Arial"/>
          <w:sz w:val="28"/>
          <w:szCs w:val="28"/>
          <w:lang w:eastAsia="zh-CN"/>
        </w:rPr>
        <w:t>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300L。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2.微波炉</w:t>
      </w:r>
      <w:r>
        <w:rPr>
          <w:rFonts w:hint="eastAsia" w:ascii="仿宋_GB2312" w:eastAsia="仿宋_GB2312"/>
          <w:sz w:val="28"/>
          <w:szCs w:val="28"/>
          <w:lang w:eastAsia="zh-CN"/>
        </w:rPr>
        <w:t>参数</w:t>
      </w:r>
      <w:r>
        <w:rPr>
          <w:rFonts w:hint="eastAsia" w:ascii="仿宋_GB2312" w:eastAsia="仿宋_GB2312"/>
          <w:sz w:val="28"/>
          <w:szCs w:val="28"/>
        </w:rPr>
        <w:t>：一线品牌，</w:t>
      </w:r>
      <w:r>
        <w:rPr>
          <w:rFonts w:ascii="仿宋_GB2312" w:eastAsia="仿宋_GB2312"/>
          <w:sz w:val="28"/>
          <w:szCs w:val="28"/>
        </w:rPr>
        <w:t>一级能</w:t>
      </w:r>
      <w:r>
        <w:rPr>
          <w:rFonts w:hint="eastAsia" w:ascii="仿宋_GB2312" w:eastAsia="仿宋_GB2312"/>
          <w:sz w:val="28"/>
          <w:szCs w:val="28"/>
        </w:rPr>
        <w:t>耗，微烤一体，</w:t>
      </w:r>
      <w:r>
        <w:rPr>
          <w:rFonts w:hint="eastAsia" w:ascii="仿宋_GB2312" w:eastAsia="仿宋_GB2312"/>
          <w:bCs/>
          <w:sz w:val="28"/>
          <w:szCs w:val="28"/>
        </w:rPr>
        <w:t>额定电压220V。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数量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台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3.本项目最高限价为：19900元。质保期一年以上。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4.供货周期：使用科室确认后尽快送货。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四、其他要求：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2"/>
        <w:ind w:firstLine="56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以上条款均需满足，并提供相关参数资料。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5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23"/>
        <w:gridCol w:w="896"/>
        <w:gridCol w:w="1264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237343703"/>
      <w:bookmarkStart w:id="1" w:name="_Toc17476723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hint="eastAsia" w:ascii="仿宋_GB2312" w:hAnsi="仿宋" w:eastAsia="仿宋_GB2312" w:cs="新宋体"/>
          <w:color w:val="000000"/>
          <w:kern w:val="0"/>
          <w:sz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BFC2536"/>
    <w:rsid w:val="0BFC2536"/>
    <w:rsid w:val="27E3048D"/>
    <w:rsid w:val="295B28F4"/>
    <w:rsid w:val="60511CE8"/>
    <w:rsid w:val="6ED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937</Characters>
  <Lines>0</Lines>
  <Paragraphs>0</Paragraphs>
  <TotalTime>2</TotalTime>
  <ScaleCrop>false</ScaleCrop>
  <LinksUpToDate>false</LinksUpToDate>
  <CharactersWithSpaces>958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2022-12-01T01:03:00Z</dcterms:created>
  <dc:creator>Administrator</dc:creator>
  <cp:lastModifiedBy>sfy-2022456</cp:lastModifiedBy>
  <dcterms:modified xsi:type="dcterms:W3CDTF">2023-09-19T02:51:59Z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808062CAA80F4F1FBC93F54A0C548F3C</vt:lpwstr>
  </property>
</Properties>
</file>