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尿失禁吊带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挂网要求：</w:t>
            </w:r>
            <w:r>
              <w:rPr>
                <w:rFonts w:hint="default"/>
                <w:lang w:val="en-US" w:eastAsia="zh-CN"/>
              </w:rPr>
              <w:t>必须为四川省药械集中采购及医药价格监管平台挂网公示产品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用于经耻骨后路径尿道中段悬吊带术。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045F6"/>
    <w:multiLevelType w:val="singleLevel"/>
    <w:tmpl w:val="D5004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7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2023-09-25T02:58:48Z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